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64" w:rsidRPr="00414AF3" w:rsidRDefault="00414AF3" w:rsidP="00414AF3">
      <w:pPr>
        <w:rPr>
          <w:rFonts w:ascii="Times New Roman" w:hAnsi="Times New Roman"/>
          <w:b/>
          <w:sz w:val="24"/>
        </w:rPr>
      </w:pPr>
      <w:r>
        <w:rPr>
          <w:rFonts w:ascii="Times New Roman" w:hAnsi="Times New Roman"/>
          <w:b/>
          <w:noProof/>
          <w:sz w:val="24"/>
        </w:rPr>
        <w:drawing>
          <wp:inline distT="0" distB="0" distL="0" distR="0" wp14:anchorId="2827D225" wp14:editId="1AB58DDD">
            <wp:extent cx="2000962" cy="619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c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2389" cy="619566"/>
                    </a:xfrm>
                    <a:prstGeom prst="rect">
                      <a:avLst/>
                    </a:prstGeom>
                  </pic:spPr>
                </pic:pic>
              </a:graphicData>
            </a:graphic>
          </wp:inline>
        </w:drawing>
      </w:r>
      <w:r>
        <w:rPr>
          <w:rFonts w:ascii="Times New Roman" w:hAnsi="Times New Roman"/>
          <w:b/>
          <w:sz w:val="24"/>
        </w:rPr>
        <w:t xml:space="preserve">                                                                        </w:t>
      </w:r>
      <w:r>
        <w:rPr>
          <w:rFonts w:ascii="Times New Roman" w:hAnsi="Times New Roman"/>
          <w:b/>
          <w:noProof/>
          <w:sz w:val="24"/>
        </w:rPr>
        <w:drawing>
          <wp:inline distT="0" distB="0" distL="0" distR="0" wp14:anchorId="3ADEF028" wp14:editId="15B00C0B">
            <wp:extent cx="756463" cy="9525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uria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13" cy="952185"/>
                    </a:xfrm>
                    <a:prstGeom prst="rect">
                      <a:avLst/>
                    </a:prstGeom>
                  </pic:spPr>
                </pic:pic>
              </a:graphicData>
            </a:graphic>
          </wp:inline>
        </w:drawing>
      </w:r>
    </w:p>
    <w:p w:rsidR="00414AF3" w:rsidRDefault="00414AF3" w:rsidP="00BA22D1"/>
    <w:p w:rsidR="00414AF3" w:rsidRPr="00414AF3" w:rsidRDefault="00414AF3" w:rsidP="00414AF3">
      <w:pPr>
        <w:jc w:val="center"/>
        <w:rPr>
          <w:rFonts w:ascii="Times New Roman" w:hAnsi="Times New Roman"/>
          <w:b/>
          <w:sz w:val="28"/>
        </w:rPr>
      </w:pPr>
      <w:r w:rsidRPr="00414AF3">
        <w:rPr>
          <w:rFonts w:ascii="Times New Roman" w:hAnsi="Times New Roman"/>
          <w:b/>
          <w:sz w:val="28"/>
        </w:rPr>
        <w:t>Projet d’écoquartier historique</w:t>
      </w:r>
    </w:p>
    <w:p w:rsidR="00414AF3" w:rsidRPr="00414AF3" w:rsidRDefault="00414AF3" w:rsidP="00414AF3">
      <w:pPr>
        <w:jc w:val="both"/>
        <w:rPr>
          <w:rFonts w:ascii="Times New Roman" w:hAnsi="Times New Roman"/>
          <w:sz w:val="22"/>
          <w:u w:val="single"/>
        </w:rPr>
      </w:pPr>
      <w:r w:rsidRPr="00414AF3">
        <w:rPr>
          <w:rFonts w:ascii="Times New Roman" w:eastAsia="Calibri" w:hAnsi="Times New Roman"/>
          <w:sz w:val="22"/>
          <w:u w:val="single"/>
        </w:rPr>
        <w:t>Objectifs visés, résultats attendus de l’action</w:t>
      </w:r>
    </w:p>
    <w:tbl>
      <w:tblPr>
        <w:tblW w:w="10045" w:type="dxa"/>
        <w:tblInd w:w="108" w:type="dxa"/>
        <w:tblLook w:val="04A0" w:firstRow="1" w:lastRow="0" w:firstColumn="1" w:lastColumn="0" w:noHBand="0" w:noVBand="1"/>
      </w:tblPr>
      <w:tblGrid>
        <w:gridCol w:w="10045"/>
      </w:tblGrid>
      <w:tr w:rsidR="00414AF3" w:rsidRPr="00414AF3" w:rsidTr="00414AF3">
        <w:trPr>
          <w:trHeight w:val="1203"/>
        </w:trPr>
        <w:tc>
          <w:tcPr>
            <w:tcW w:w="10045" w:type="dxa"/>
            <w:shd w:val="clear" w:color="auto" w:fill="auto"/>
          </w:tcPr>
          <w:p w:rsidR="00414AF3" w:rsidRPr="00414AF3" w:rsidRDefault="00414AF3" w:rsidP="00414AF3">
            <w:pPr>
              <w:jc w:val="both"/>
              <w:rPr>
                <w:rFonts w:ascii="Times New Roman" w:hAnsi="Times New Roman"/>
                <w:sz w:val="22"/>
              </w:rPr>
            </w:pPr>
            <w:r w:rsidRPr="00414AF3">
              <w:rPr>
                <w:rFonts w:ascii="Times New Roman" w:hAnsi="Times New Roman"/>
                <w:sz w:val="22"/>
              </w:rPr>
              <w:t xml:space="preserve">Obtenir le Label Ecoquartier en centre-bourg historique, prise en compte de la nouvelle charte des écoquartiers à paraître en décembre. </w:t>
            </w:r>
          </w:p>
          <w:p w:rsidR="00414AF3" w:rsidRPr="00414AF3" w:rsidRDefault="00414AF3" w:rsidP="00414AF3">
            <w:pPr>
              <w:jc w:val="both"/>
              <w:rPr>
                <w:rFonts w:ascii="Times New Roman" w:hAnsi="Times New Roman"/>
                <w:sz w:val="22"/>
              </w:rPr>
            </w:pPr>
            <w:r w:rsidRPr="00414AF3">
              <w:rPr>
                <w:rFonts w:ascii="Times New Roman" w:hAnsi="Times New Roman"/>
                <w:sz w:val="22"/>
              </w:rPr>
              <w:t>Réaliser une étude de faisabilité de rénovation de l'îlot urbain du Monastère Saint-Pierre (au cœur du centre-bourg de Mauriac, d'une surface d'environ 2 000 m²) en u</w:t>
            </w:r>
            <w:bookmarkStart w:id="0" w:name="_GoBack"/>
            <w:bookmarkEnd w:id="0"/>
            <w:r w:rsidRPr="00414AF3">
              <w:rPr>
                <w:rFonts w:ascii="Times New Roman" w:hAnsi="Times New Roman"/>
                <w:sz w:val="22"/>
              </w:rPr>
              <w:t xml:space="preserve">n écoquartier historique. </w:t>
            </w:r>
          </w:p>
          <w:p w:rsidR="00414AF3" w:rsidRPr="00414AF3" w:rsidRDefault="00414AF3" w:rsidP="00414AF3">
            <w:pPr>
              <w:jc w:val="both"/>
              <w:rPr>
                <w:rFonts w:ascii="Times New Roman" w:hAnsi="Times New Roman"/>
                <w:sz w:val="22"/>
              </w:rPr>
            </w:pPr>
            <w:r w:rsidRPr="00414AF3">
              <w:rPr>
                <w:rFonts w:ascii="Times New Roman" w:hAnsi="Times New Roman"/>
                <w:sz w:val="22"/>
              </w:rPr>
              <w:t>Création d'un modèle de rénovation HQE transposable à d'autres centres anciens du Massif Central</w:t>
            </w:r>
          </w:p>
          <w:p w:rsidR="00414AF3" w:rsidRPr="00414AF3" w:rsidRDefault="00414AF3" w:rsidP="00414AF3">
            <w:pPr>
              <w:jc w:val="both"/>
              <w:rPr>
                <w:rFonts w:ascii="Times New Roman" w:hAnsi="Times New Roman"/>
                <w:sz w:val="22"/>
              </w:rPr>
            </w:pPr>
            <w:r w:rsidRPr="00414AF3">
              <w:rPr>
                <w:rFonts w:ascii="Times New Roman" w:hAnsi="Times New Roman"/>
                <w:sz w:val="22"/>
              </w:rPr>
              <w:t>Faire prendre conscience aux habitants du potentiel environnemental et esthétique d'une rénovation en centre ancien</w:t>
            </w:r>
          </w:p>
          <w:p w:rsidR="00414AF3" w:rsidRPr="00414AF3" w:rsidRDefault="00414AF3" w:rsidP="00414AF3">
            <w:pPr>
              <w:jc w:val="both"/>
              <w:rPr>
                <w:rFonts w:ascii="Times New Roman" w:hAnsi="Times New Roman"/>
                <w:sz w:val="22"/>
              </w:rPr>
            </w:pPr>
            <w:r w:rsidRPr="00414AF3">
              <w:rPr>
                <w:rFonts w:ascii="Times New Roman" w:hAnsi="Times New Roman"/>
                <w:sz w:val="22"/>
              </w:rPr>
              <w:t>Faire évoluer le mode d'habiter (taille et disposition des pièces dans les logements)</w:t>
            </w:r>
          </w:p>
          <w:p w:rsidR="00414AF3" w:rsidRPr="00414AF3" w:rsidRDefault="00414AF3" w:rsidP="00414AF3">
            <w:pPr>
              <w:jc w:val="both"/>
              <w:rPr>
                <w:rFonts w:ascii="Times New Roman" w:hAnsi="Times New Roman"/>
                <w:sz w:val="22"/>
              </w:rPr>
            </w:pPr>
            <w:r w:rsidRPr="00414AF3">
              <w:rPr>
                <w:rFonts w:ascii="Times New Roman" w:hAnsi="Times New Roman"/>
                <w:sz w:val="22"/>
              </w:rPr>
              <w:t>Promouvoir la rénovation énergétique des bâtiments</w:t>
            </w:r>
          </w:p>
          <w:p w:rsidR="00414AF3" w:rsidRPr="00414AF3" w:rsidRDefault="00414AF3" w:rsidP="00414AF3">
            <w:pPr>
              <w:jc w:val="both"/>
              <w:rPr>
                <w:rFonts w:ascii="Times New Roman" w:hAnsi="Times New Roman"/>
                <w:sz w:val="22"/>
              </w:rPr>
            </w:pPr>
            <w:r w:rsidRPr="00414AF3">
              <w:rPr>
                <w:rFonts w:ascii="Times New Roman" w:hAnsi="Times New Roman"/>
                <w:sz w:val="22"/>
              </w:rPr>
              <w:t xml:space="preserve">Préservation et valorisation du patrimoine bâti, architectural, et religieux, l'îlot du Monastère abritant des vestiges du monastère Saint-Pierre (cloître et salle capitulaire), fondé entre le VIème et le IXème siècle. Une partie de l'îlot urbain est inscrit aux Monuments Historiques, l'îlot devrait être inscrit en totalité d'ici la fin de l'année puis ensuite classé en totalité dans les prochaines années. </w:t>
            </w:r>
          </w:p>
          <w:p w:rsidR="00414AF3" w:rsidRPr="00414AF3" w:rsidRDefault="00414AF3" w:rsidP="00414AF3">
            <w:pPr>
              <w:jc w:val="both"/>
              <w:rPr>
                <w:rFonts w:ascii="Times New Roman" w:hAnsi="Times New Roman"/>
                <w:sz w:val="22"/>
              </w:rPr>
            </w:pPr>
            <w:r w:rsidRPr="00414AF3">
              <w:rPr>
                <w:rFonts w:ascii="Times New Roman" w:hAnsi="Times New Roman"/>
                <w:sz w:val="22"/>
              </w:rPr>
              <w:t>Développer l'attractivité résidentielle et améliorer l'image du centre-bourg</w:t>
            </w:r>
          </w:p>
          <w:p w:rsidR="00414AF3" w:rsidRPr="00414AF3" w:rsidRDefault="00414AF3" w:rsidP="00414AF3">
            <w:pPr>
              <w:jc w:val="both"/>
              <w:rPr>
                <w:rFonts w:ascii="Times New Roman" w:hAnsi="Times New Roman"/>
                <w:sz w:val="22"/>
              </w:rPr>
            </w:pPr>
            <w:r w:rsidRPr="00414AF3">
              <w:rPr>
                <w:rFonts w:ascii="Times New Roman" w:hAnsi="Times New Roman"/>
                <w:sz w:val="22"/>
              </w:rPr>
              <w:t>Résorption des logements vacants et insalubres</w:t>
            </w:r>
          </w:p>
          <w:p w:rsidR="00414AF3" w:rsidRPr="00414AF3" w:rsidRDefault="00414AF3" w:rsidP="00414AF3">
            <w:pPr>
              <w:jc w:val="both"/>
              <w:rPr>
                <w:rFonts w:ascii="Times New Roman" w:hAnsi="Times New Roman"/>
                <w:sz w:val="22"/>
              </w:rPr>
            </w:pPr>
            <w:r w:rsidRPr="00414AF3">
              <w:rPr>
                <w:rFonts w:ascii="Times New Roman" w:hAnsi="Times New Roman"/>
                <w:sz w:val="22"/>
              </w:rPr>
              <w:t>Limiter l'étalement urbain en rénovant le bâti existant</w:t>
            </w:r>
          </w:p>
          <w:p w:rsidR="00414AF3" w:rsidRPr="00414AF3" w:rsidRDefault="00414AF3" w:rsidP="00414AF3">
            <w:pPr>
              <w:jc w:val="both"/>
              <w:rPr>
                <w:rFonts w:ascii="Times New Roman" w:hAnsi="Times New Roman"/>
                <w:sz w:val="22"/>
              </w:rPr>
            </w:pPr>
            <w:r w:rsidRPr="00414AF3">
              <w:rPr>
                <w:rFonts w:ascii="Times New Roman" w:hAnsi="Times New Roman"/>
                <w:sz w:val="22"/>
              </w:rPr>
              <w:t>Réaliser un projet urbain dans sa globalité en favorisant la mixité sociale et le lien intergénérationnel</w:t>
            </w:r>
          </w:p>
          <w:p w:rsidR="00414AF3" w:rsidRPr="00414AF3" w:rsidRDefault="00414AF3" w:rsidP="00414AF3">
            <w:pPr>
              <w:jc w:val="both"/>
              <w:rPr>
                <w:rFonts w:ascii="Times New Roman" w:hAnsi="Times New Roman"/>
                <w:sz w:val="22"/>
              </w:rPr>
            </w:pPr>
            <w:r w:rsidRPr="00414AF3">
              <w:rPr>
                <w:rFonts w:ascii="Times New Roman" w:hAnsi="Times New Roman"/>
                <w:sz w:val="22"/>
              </w:rPr>
              <w:t xml:space="preserve">Favoriser les déplacements doux </w:t>
            </w:r>
          </w:p>
          <w:p w:rsidR="00414AF3" w:rsidRPr="00414AF3" w:rsidRDefault="00414AF3" w:rsidP="00414AF3">
            <w:pPr>
              <w:jc w:val="both"/>
              <w:rPr>
                <w:rFonts w:ascii="Times New Roman" w:hAnsi="Times New Roman"/>
                <w:sz w:val="22"/>
              </w:rPr>
            </w:pPr>
            <w:r w:rsidRPr="00414AF3">
              <w:rPr>
                <w:rFonts w:ascii="Times New Roman" w:hAnsi="Times New Roman"/>
                <w:sz w:val="22"/>
              </w:rPr>
              <w:t>Projet d'écoquartier fédérateur, suscitant l'adhésion des habitants et des propriétaires fonciers</w:t>
            </w:r>
          </w:p>
          <w:p w:rsidR="00414AF3" w:rsidRPr="00414AF3" w:rsidRDefault="00414AF3" w:rsidP="00414AF3">
            <w:pPr>
              <w:jc w:val="both"/>
              <w:rPr>
                <w:rFonts w:ascii="Times New Roman" w:hAnsi="Times New Roman"/>
                <w:sz w:val="22"/>
              </w:rPr>
            </w:pPr>
            <w:r w:rsidRPr="00414AF3">
              <w:rPr>
                <w:rFonts w:ascii="Times New Roman" w:hAnsi="Times New Roman"/>
                <w:sz w:val="22"/>
              </w:rPr>
              <w:t>Réappropriation du centre-bourg par les habitants.</w:t>
            </w:r>
          </w:p>
          <w:p w:rsidR="00414AF3" w:rsidRPr="00414AF3" w:rsidRDefault="00414AF3" w:rsidP="00414AF3">
            <w:pPr>
              <w:jc w:val="both"/>
              <w:rPr>
                <w:rFonts w:ascii="Times New Roman" w:hAnsi="Times New Roman"/>
                <w:sz w:val="22"/>
                <w:szCs w:val="32"/>
              </w:rPr>
            </w:pPr>
            <w:r w:rsidRPr="00414AF3">
              <w:rPr>
                <w:rFonts w:ascii="Times New Roman" w:hAnsi="Times New Roman"/>
                <w:sz w:val="22"/>
              </w:rPr>
              <w:t xml:space="preserve">Les vestiges du monastère seront préservés, valorisés et une éventuelle reconstitution du cloître et du jardin intérieur est envisagée.  </w:t>
            </w:r>
          </w:p>
        </w:tc>
      </w:tr>
    </w:tbl>
    <w:p w:rsidR="00414AF3" w:rsidRPr="00414AF3" w:rsidRDefault="00414AF3" w:rsidP="00414AF3">
      <w:pPr>
        <w:jc w:val="both"/>
        <w:rPr>
          <w:rFonts w:ascii="Times New Roman" w:hAnsi="Times New Roman"/>
          <w:sz w:val="22"/>
          <w:u w:val="single"/>
        </w:rPr>
      </w:pPr>
      <w:r w:rsidRPr="00414AF3">
        <w:rPr>
          <w:rFonts w:ascii="Times New Roman" w:eastAsia="Calibri" w:hAnsi="Times New Roman"/>
          <w:sz w:val="22"/>
          <w:u w:val="single"/>
        </w:rPr>
        <w:t xml:space="preserve">Moyens prévus, modalités de mise en œuvre de l’action </w:t>
      </w:r>
    </w:p>
    <w:tbl>
      <w:tblPr>
        <w:tblW w:w="10045" w:type="dxa"/>
        <w:tblInd w:w="108" w:type="dxa"/>
        <w:tblLook w:val="04A0" w:firstRow="1" w:lastRow="0" w:firstColumn="1" w:lastColumn="0" w:noHBand="0" w:noVBand="1"/>
      </w:tblPr>
      <w:tblGrid>
        <w:gridCol w:w="10045"/>
      </w:tblGrid>
      <w:tr w:rsidR="00414AF3" w:rsidRPr="00414AF3" w:rsidTr="00414AF3">
        <w:trPr>
          <w:trHeight w:val="1060"/>
        </w:trPr>
        <w:tc>
          <w:tcPr>
            <w:tcW w:w="10045" w:type="dxa"/>
            <w:shd w:val="clear" w:color="auto" w:fill="auto"/>
          </w:tcPr>
          <w:p w:rsidR="00414AF3" w:rsidRPr="00414AF3" w:rsidRDefault="00414AF3" w:rsidP="00414AF3">
            <w:pPr>
              <w:jc w:val="both"/>
              <w:rPr>
                <w:rFonts w:ascii="Times New Roman" w:hAnsi="Times New Roman"/>
                <w:sz w:val="22"/>
              </w:rPr>
            </w:pPr>
            <w:r w:rsidRPr="00414AF3">
              <w:rPr>
                <w:rFonts w:ascii="Times New Roman" w:hAnsi="Times New Roman"/>
                <w:sz w:val="22"/>
              </w:rPr>
              <w:lastRenderedPageBreak/>
              <w:t xml:space="preserve">L'étude de faisabilité technique avec un maquettage numérique en 3 D doit orienter sur la pertinence d'un tel projet (critères techniques de faisabilité mais aussi après concertation avec les habitants, les propriétaires privés et tous les autres acteurs locaux pertinents présents dans l'îlot (DRAC, Commerçants, …)) et sur son </w:t>
            </w:r>
            <w:r w:rsidR="00FC3313" w:rsidRPr="00414AF3">
              <w:rPr>
                <w:rFonts w:ascii="Times New Roman" w:hAnsi="Times New Roman"/>
                <w:sz w:val="22"/>
              </w:rPr>
              <w:t xml:space="preserve">coût. </w:t>
            </w:r>
            <w:r w:rsidRPr="00414AF3">
              <w:rPr>
                <w:rFonts w:ascii="Times New Roman" w:hAnsi="Times New Roman"/>
                <w:sz w:val="22"/>
              </w:rPr>
              <w:t>Prise en compte dans l'étude des critères d'obtention du label Ecoquartier ainsi que de la nouvelle charte.</w:t>
            </w:r>
          </w:p>
          <w:p w:rsidR="00414AF3" w:rsidRPr="00414AF3" w:rsidRDefault="00414AF3" w:rsidP="00414AF3">
            <w:pPr>
              <w:jc w:val="both"/>
              <w:rPr>
                <w:rFonts w:ascii="Times New Roman" w:hAnsi="Times New Roman"/>
                <w:sz w:val="22"/>
              </w:rPr>
            </w:pPr>
            <w:r w:rsidRPr="00414AF3">
              <w:rPr>
                <w:rFonts w:ascii="Times New Roman" w:hAnsi="Times New Roman"/>
                <w:sz w:val="22"/>
              </w:rPr>
              <w:t xml:space="preserve">La prise en compte des attentes et des besoins des acteurs locaux sera primordiale pour le succès de cette action tout comme les ressources et les contraintes territoriales. </w:t>
            </w:r>
          </w:p>
          <w:p w:rsidR="00414AF3" w:rsidRPr="00414AF3" w:rsidRDefault="00414AF3" w:rsidP="00414AF3">
            <w:pPr>
              <w:jc w:val="both"/>
              <w:rPr>
                <w:rFonts w:ascii="Times New Roman" w:hAnsi="Times New Roman"/>
                <w:sz w:val="22"/>
              </w:rPr>
            </w:pPr>
            <w:r w:rsidRPr="00414AF3">
              <w:rPr>
                <w:rFonts w:ascii="Times New Roman" w:hAnsi="Times New Roman"/>
                <w:sz w:val="22"/>
              </w:rPr>
              <w:t xml:space="preserve">La commune de Mauriac travaille sur ce dossier depuis de nombreuses années, elle est propriétaire de plus de la moitié des bâtiments du périmètre de l'îlot. </w:t>
            </w:r>
          </w:p>
          <w:p w:rsidR="00414AF3" w:rsidRPr="00414AF3" w:rsidRDefault="00414AF3" w:rsidP="00414AF3">
            <w:pPr>
              <w:jc w:val="both"/>
              <w:rPr>
                <w:rFonts w:ascii="Times New Roman" w:hAnsi="Times New Roman"/>
                <w:sz w:val="22"/>
              </w:rPr>
            </w:pPr>
            <w:r w:rsidRPr="00414AF3">
              <w:rPr>
                <w:rFonts w:ascii="Times New Roman" w:hAnsi="Times New Roman"/>
                <w:sz w:val="22"/>
              </w:rPr>
              <w:t>Visite d'un écoquartier historique existant (</w:t>
            </w:r>
            <w:r w:rsidR="00FC3313" w:rsidRPr="00414AF3">
              <w:rPr>
                <w:rFonts w:ascii="Times New Roman" w:hAnsi="Times New Roman"/>
                <w:sz w:val="22"/>
              </w:rPr>
              <w:t>Forcalquier)</w:t>
            </w:r>
            <w:r w:rsidRPr="00414AF3">
              <w:rPr>
                <w:rFonts w:ascii="Times New Roman" w:hAnsi="Times New Roman"/>
                <w:sz w:val="22"/>
              </w:rPr>
              <w:t xml:space="preserve"> avec des habitants, des élus  et des propriétaires fonciers courant 2017. </w:t>
            </w:r>
          </w:p>
          <w:p w:rsidR="00414AF3" w:rsidRPr="00414AF3" w:rsidRDefault="00414AF3" w:rsidP="00414AF3">
            <w:pPr>
              <w:jc w:val="both"/>
              <w:rPr>
                <w:rFonts w:ascii="Times New Roman" w:hAnsi="Times New Roman"/>
                <w:sz w:val="22"/>
              </w:rPr>
            </w:pPr>
            <w:r w:rsidRPr="00414AF3">
              <w:rPr>
                <w:rFonts w:ascii="Times New Roman" w:hAnsi="Times New Roman"/>
                <w:sz w:val="22"/>
              </w:rPr>
              <w:t xml:space="preserve">Création d'un comité de pilotage </w:t>
            </w:r>
            <w:r w:rsidR="00FC3313" w:rsidRPr="00414AF3">
              <w:rPr>
                <w:rFonts w:ascii="Times New Roman" w:hAnsi="Times New Roman"/>
                <w:sz w:val="22"/>
              </w:rPr>
              <w:t>(Service</w:t>
            </w:r>
            <w:r w:rsidRPr="00414AF3">
              <w:rPr>
                <w:rFonts w:ascii="Times New Roman" w:hAnsi="Times New Roman"/>
                <w:sz w:val="22"/>
              </w:rPr>
              <w:t xml:space="preserve"> partagé, commune de Mauriac, Communauté de Communes du Pays de Mauriac, Sous-Préfecture de Mauriac, DDT, UDAP, Cabinet d'architecte du patrimoine, bailleurs sociaux) qui se réunira tous les 3 mois durant la phase d'étude. </w:t>
            </w:r>
          </w:p>
          <w:p w:rsidR="00414AF3" w:rsidRPr="00414AF3" w:rsidRDefault="00414AF3" w:rsidP="00414AF3">
            <w:pPr>
              <w:jc w:val="both"/>
              <w:rPr>
                <w:rFonts w:ascii="Times New Roman" w:hAnsi="Times New Roman"/>
                <w:sz w:val="22"/>
                <w:szCs w:val="32"/>
              </w:rPr>
            </w:pPr>
            <w:r w:rsidRPr="00414AF3">
              <w:rPr>
                <w:rFonts w:ascii="Times New Roman" w:hAnsi="Times New Roman"/>
                <w:sz w:val="22"/>
              </w:rPr>
              <w:t xml:space="preserve">La concertation sera basée sur des réunions publiques, des ateliers thématiques et des questionnaires. </w:t>
            </w:r>
          </w:p>
        </w:tc>
      </w:tr>
    </w:tbl>
    <w:p w:rsidR="00414AF3" w:rsidRPr="00414AF3" w:rsidRDefault="00414AF3" w:rsidP="00414AF3">
      <w:pPr>
        <w:jc w:val="both"/>
        <w:rPr>
          <w:rFonts w:ascii="Times New Roman" w:hAnsi="Times New Roman"/>
          <w:sz w:val="22"/>
          <w:u w:val="single"/>
        </w:rPr>
      </w:pPr>
      <w:r w:rsidRPr="00414AF3">
        <w:rPr>
          <w:rFonts w:ascii="Times New Roman" w:hAnsi="Times New Roman"/>
          <w:sz w:val="22"/>
          <w:u w:val="single"/>
        </w:rPr>
        <w:t>Moyens humains mobilisés mais non valorisés dans le plan de financement (réseaux, personnes, qualités, missions, temps prévisionnel consacré au projet)</w:t>
      </w:r>
    </w:p>
    <w:tbl>
      <w:tblPr>
        <w:tblW w:w="10045" w:type="dxa"/>
        <w:tblInd w:w="108" w:type="dxa"/>
        <w:tblLook w:val="04A0" w:firstRow="1" w:lastRow="0" w:firstColumn="1" w:lastColumn="0" w:noHBand="0" w:noVBand="1"/>
      </w:tblPr>
      <w:tblGrid>
        <w:gridCol w:w="10045"/>
      </w:tblGrid>
      <w:tr w:rsidR="00414AF3" w:rsidRPr="00414AF3" w:rsidTr="00414AF3">
        <w:trPr>
          <w:trHeight w:val="1060"/>
        </w:trPr>
        <w:tc>
          <w:tcPr>
            <w:tcW w:w="10045" w:type="dxa"/>
            <w:shd w:val="clear" w:color="auto" w:fill="auto"/>
          </w:tcPr>
          <w:p w:rsidR="00414AF3" w:rsidRPr="00414AF3" w:rsidRDefault="00414AF3" w:rsidP="00414AF3">
            <w:pPr>
              <w:jc w:val="both"/>
              <w:rPr>
                <w:rFonts w:ascii="Times New Roman" w:hAnsi="Times New Roman"/>
                <w:sz w:val="22"/>
              </w:rPr>
            </w:pPr>
            <w:r w:rsidRPr="00414AF3">
              <w:rPr>
                <w:rFonts w:ascii="Times New Roman" w:hAnsi="Times New Roman"/>
                <w:sz w:val="22"/>
              </w:rPr>
              <w:t xml:space="preserve">Florence Cornuet, DGS de la ville de Forcalquier </w:t>
            </w:r>
          </w:p>
          <w:p w:rsidR="00414AF3" w:rsidRPr="00414AF3" w:rsidRDefault="00414AF3" w:rsidP="00414AF3">
            <w:pPr>
              <w:jc w:val="both"/>
              <w:rPr>
                <w:rFonts w:ascii="Times New Roman" w:hAnsi="Times New Roman"/>
                <w:sz w:val="22"/>
              </w:rPr>
            </w:pPr>
            <w:r w:rsidRPr="00414AF3">
              <w:rPr>
                <w:rFonts w:ascii="Times New Roman" w:hAnsi="Times New Roman"/>
                <w:sz w:val="22"/>
              </w:rPr>
              <w:t>DDT du Cantal</w:t>
            </w:r>
          </w:p>
          <w:p w:rsidR="00414AF3" w:rsidRPr="00414AF3" w:rsidRDefault="00414AF3" w:rsidP="00414AF3">
            <w:pPr>
              <w:jc w:val="both"/>
              <w:rPr>
                <w:rFonts w:ascii="Times New Roman" w:hAnsi="Times New Roman"/>
                <w:sz w:val="22"/>
              </w:rPr>
            </w:pPr>
            <w:r w:rsidRPr="00414AF3">
              <w:rPr>
                <w:rFonts w:ascii="Times New Roman" w:hAnsi="Times New Roman"/>
                <w:sz w:val="22"/>
              </w:rPr>
              <w:t>UDAP 15</w:t>
            </w:r>
          </w:p>
          <w:p w:rsidR="00414AF3" w:rsidRPr="00414AF3" w:rsidRDefault="00414AF3" w:rsidP="00414AF3">
            <w:pPr>
              <w:jc w:val="both"/>
              <w:rPr>
                <w:rFonts w:ascii="Times New Roman" w:hAnsi="Times New Roman"/>
                <w:sz w:val="22"/>
              </w:rPr>
            </w:pPr>
            <w:r w:rsidRPr="00414AF3">
              <w:rPr>
                <w:rFonts w:ascii="Times New Roman" w:hAnsi="Times New Roman"/>
                <w:sz w:val="22"/>
              </w:rPr>
              <w:t>Sous-Préfecture de Mauriac</w:t>
            </w:r>
          </w:p>
          <w:p w:rsidR="00414AF3" w:rsidRPr="00414AF3" w:rsidRDefault="00414AF3" w:rsidP="00414AF3">
            <w:pPr>
              <w:jc w:val="both"/>
              <w:rPr>
                <w:rFonts w:ascii="Times New Roman" w:hAnsi="Times New Roman"/>
                <w:sz w:val="22"/>
                <w:szCs w:val="32"/>
              </w:rPr>
            </w:pPr>
            <w:r w:rsidRPr="00414AF3">
              <w:rPr>
                <w:rFonts w:ascii="Times New Roman" w:hAnsi="Times New Roman"/>
                <w:sz w:val="22"/>
              </w:rPr>
              <w:t xml:space="preserve">Bailleurs sociaux </w:t>
            </w:r>
          </w:p>
        </w:tc>
      </w:tr>
    </w:tbl>
    <w:p w:rsidR="00414AF3" w:rsidRPr="00414AF3" w:rsidRDefault="00414AF3" w:rsidP="00414AF3">
      <w:pPr>
        <w:jc w:val="both"/>
        <w:rPr>
          <w:rFonts w:ascii="Times New Roman" w:hAnsi="Times New Roman"/>
          <w:sz w:val="22"/>
          <w:u w:val="single"/>
        </w:rPr>
      </w:pPr>
      <w:r w:rsidRPr="00414AF3">
        <w:rPr>
          <w:rFonts w:ascii="Times New Roman" w:eastAsia="Calibri" w:hAnsi="Times New Roman"/>
          <w:sz w:val="22"/>
          <w:u w:val="single"/>
        </w:rPr>
        <w:t xml:space="preserve">Moyens techniques mobilisés mais non valorisés dans le plan de financement (local, équipements, bases de données, site internet </w:t>
      </w:r>
      <w:r w:rsidR="00FC3313" w:rsidRPr="00414AF3">
        <w:rPr>
          <w:rFonts w:ascii="Times New Roman" w:eastAsia="Calibri" w:hAnsi="Times New Roman"/>
          <w:sz w:val="22"/>
          <w:u w:val="single"/>
        </w:rPr>
        <w:t>etc.</w:t>
      </w:r>
      <w:r w:rsidRPr="00414AF3">
        <w:rPr>
          <w:rFonts w:ascii="Times New Roman" w:eastAsia="Calibri" w:hAnsi="Times New Roman"/>
          <w:sz w:val="22"/>
          <w:u w:val="single"/>
        </w:rPr>
        <w:t>)</w:t>
      </w:r>
    </w:p>
    <w:tbl>
      <w:tblPr>
        <w:tblW w:w="10045" w:type="dxa"/>
        <w:tblInd w:w="108" w:type="dxa"/>
        <w:tblLook w:val="04A0" w:firstRow="1" w:lastRow="0" w:firstColumn="1" w:lastColumn="0" w:noHBand="0" w:noVBand="1"/>
      </w:tblPr>
      <w:tblGrid>
        <w:gridCol w:w="10045"/>
      </w:tblGrid>
      <w:tr w:rsidR="00414AF3" w:rsidRPr="00414AF3" w:rsidTr="00414AF3">
        <w:trPr>
          <w:trHeight w:val="1060"/>
        </w:trPr>
        <w:tc>
          <w:tcPr>
            <w:tcW w:w="10045" w:type="dxa"/>
            <w:shd w:val="clear" w:color="auto" w:fill="auto"/>
          </w:tcPr>
          <w:p w:rsidR="00414AF3" w:rsidRPr="00414AF3" w:rsidRDefault="00414AF3" w:rsidP="00414AF3">
            <w:pPr>
              <w:jc w:val="both"/>
              <w:rPr>
                <w:rFonts w:ascii="Times New Roman" w:hAnsi="Times New Roman"/>
                <w:sz w:val="22"/>
              </w:rPr>
            </w:pPr>
            <w:r w:rsidRPr="00414AF3">
              <w:rPr>
                <w:rFonts w:ascii="Times New Roman" w:hAnsi="Times New Roman"/>
                <w:sz w:val="22"/>
              </w:rPr>
              <w:t>Charte de l'écoquartier</w:t>
            </w:r>
          </w:p>
          <w:p w:rsidR="00414AF3" w:rsidRPr="00414AF3" w:rsidRDefault="00414AF3" w:rsidP="00414AF3">
            <w:pPr>
              <w:jc w:val="both"/>
              <w:rPr>
                <w:rFonts w:ascii="Times New Roman" w:hAnsi="Times New Roman"/>
                <w:sz w:val="22"/>
                <w:szCs w:val="32"/>
              </w:rPr>
            </w:pPr>
            <w:r w:rsidRPr="00414AF3">
              <w:rPr>
                <w:rFonts w:ascii="Times New Roman" w:hAnsi="Times New Roman"/>
                <w:sz w:val="22"/>
              </w:rPr>
              <w:t xml:space="preserve">Site du Ministère du Logement et de l'Habitat Durable </w:t>
            </w:r>
            <w:hyperlink r:id="rId8">
              <w:r w:rsidRPr="00414AF3">
                <w:rPr>
                  <w:rStyle w:val="Lienhypertexte"/>
                  <w:rFonts w:ascii="Times New Roman" w:hAnsi="Times New Roman"/>
                  <w:sz w:val="22"/>
                </w:rPr>
                <w:t>www.logement.gouv.fr/les-ecoquartiers</w:t>
              </w:r>
            </w:hyperlink>
          </w:p>
        </w:tc>
      </w:tr>
    </w:tbl>
    <w:p w:rsidR="00414AF3" w:rsidRPr="00414AF3" w:rsidRDefault="00414AF3" w:rsidP="00414AF3">
      <w:pPr>
        <w:jc w:val="both"/>
        <w:rPr>
          <w:rFonts w:ascii="Times New Roman" w:hAnsi="Times New Roman"/>
          <w:sz w:val="22"/>
          <w:u w:val="single"/>
        </w:rPr>
      </w:pPr>
      <w:r w:rsidRPr="00414AF3">
        <w:rPr>
          <w:rFonts w:ascii="Times New Roman" w:eastAsia="Calibri" w:hAnsi="Times New Roman"/>
          <w:sz w:val="22"/>
          <w:u w:val="single"/>
        </w:rPr>
        <w:t>Prestataires externes (type de prestataire, mode</w:t>
      </w:r>
      <w:r w:rsidRPr="00414AF3">
        <w:rPr>
          <w:rFonts w:ascii="Times New Roman" w:eastAsia="Calibri" w:hAnsi="Times New Roman"/>
          <w:sz w:val="22"/>
          <w:u w:val="single"/>
        </w:rPr>
        <w:t xml:space="preserve"> de sélection, …) </w:t>
      </w:r>
    </w:p>
    <w:tbl>
      <w:tblPr>
        <w:tblW w:w="10045" w:type="dxa"/>
        <w:tblInd w:w="108" w:type="dxa"/>
        <w:tblLook w:val="04A0" w:firstRow="1" w:lastRow="0" w:firstColumn="1" w:lastColumn="0" w:noHBand="0" w:noVBand="1"/>
      </w:tblPr>
      <w:tblGrid>
        <w:gridCol w:w="10045"/>
      </w:tblGrid>
      <w:tr w:rsidR="00414AF3" w:rsidRPr="00414AF3" w:rsidTr="00414AF3">
        <w:trPr>
          <w:trHeight w:val="630"/>
        </w:trPr>
        <w:tc>
          <w:tcPr>
            <w:tcW w:w="10045" w:type="dxa"/>
            <w:shd w:val="clear" w:color="auto" w:fill="auto"/>
          </w:tcPr>
          <w:p w:rsidR="00414AF3" w:rsidRPr="00414AF3" w:rsidRDefault="00414AF3" w:rsidP="00414AF3">
            <w:pPr>
              <w:jc w:val="both"/>
              <w:rPr>
                <w:rFonts w:ascii="Times New Roman" w:hAnsi="Times New Roman"/>
                <w:sz w:val="22"/>
                <w:szCs w:val="32"/>
              </w:rPr>
            </w:pPr>
            <w:r w:rsidRPr="00414AF3">
              <w:rPr>
                <w:rFonts w:ascii="Times New Roman" w:hAnsi="Times New Roman"/>
                <w:sz w:val="22"/>
              </w:rPr>
              <w:t xml:space="preserve">Cabinet d'architecte du Patrimoine </w:t>
            </w:r>
          </w:p>
        </w:tc>
      </w:tr>
    </w:tbl>
    <w:p w:rsidR="00414AF3" w:rsidRPr="00414AF3" w:rsidRDefault="00414AF3" w:rsidP="00414AF3">
      <w:pPr>
        <w:spacing w:before="120"/>
        <w:jc w:val="both"/>
        <w:rPr>
          <w:rFonts w:ascii="Times New Roman" w:hAnsi="Times New Roman"/>
          <w:sz w:val="22"/>
          <w:u w:val="single"/>
        </w:rPr>
      </w:pPr>
      <w:r w:rsidRPr="00414AF3">
        <w:rPr>
          <w:rFonts w:ascii="Times New Roman" w:eastAsia="Calibri" w:hAnsi="Times New Roman"/>
          <w:sz w:val="22"/>
          <w:u w:val="single"/>
        </w:rPr>
        <w:t>Partenariat envisagé pour la mise en œuvre de l’action </w:t>
      </w:r>
    </w:p>
    <w:tbl>
      <w:tblPr>
        <w:tblW w:w="10045" w:type="dxa"/>
        <w:tblInd w:w="108" w:type="dxa"/>
        <w:tblLook w:val="04A0" w:firstRow="1" w:lastRow="0" w:firstColumn="1" w:lastColumn="0" w:noHBand="0" w:noVBand="1"/>
      </w:tblPr>
      <w:tblGrid>
        <w:gridCol w:w="10045"/>
      </w:tblGrid>
      <w:tr w:rsidR="00414AF3" w:rsidRPr="00414AF3" w:rsidTr="00414AF3">
        <w:trPr>
          <w:trHeight w:val="621"/>
        </w:trPr>
        <w:tc>
          <w:tcPr>
            <w:tcW w:w="10045" w:type="dxa"/>
            <w:shd w:val="clear" w:color="auto" w:fill="auto"/>
          </w:tcPr>
          <w:p w:rsidR="00414AF3" w:rsidRPr="00414AF3" w:rsidRDefault="00414AF3" w:rsidP="00414AF3">
            <w:pPr>
              <w:jc w:val="both"/>
              <w:rPr>
                <w:rFonts w:ascii="Times New Roman" w:hAnsi="Times New Roman"/>
                <w:sz w:val="22"/>
              </w:rPr>
            </w:pPr>
            <w:r w:rsidRPr="00414AF3">
              <w:rPr>
                <w:rFonts w:ascii="Times New Roman" w:hAnsi="Times New Roman"/>
                <w:sz w:val="22"/>
              </w:rPr>
              <w:t xml:space="preserve">Etude : Communauté de Communes du Pays de Mauriac, commune de Mauriac, UDAP, Massif Central, </w:t>
            </w:r>
            <w:r w:rsidRPr="00414AF3">
              <w:rPr>
                <w:rFonts w:ascii="Times New Roman" w:hAnsi="Times New Roman"/>
                <w:sz w:val="22"/>
              </w:rPr>
              <w:lastRenderedPageBreak/>
              <w:t xml:space="preserve">Cabinet d'architecte du patrimoine, DDT, bailleurs sociaux </w:t>
            </w:r>
          </w:p>
          <w:p w:rsidR="00414AF3" w:rsidRPr="00414AF3" w:rsidRDefault="00414AF3" w:rsidP="00414AF3">
            <w:pPr>
              <w:jc w:val="both"/>
              <w:rPr>
                <w:rFonts w:ascii="Times New Roman" w:hAnsi="Times New Roman"/>
                <w:sz w:val="22"/>
                <w:szCs w:val="32"/>
              </w:rPr>
            </w:pPr>
            <w:r w:rsidRPr="00414AF3">
              <w:rPr>
                <w:rFonts w:ascii="Times New Roman" w:hAnsi="Times New Roman"/>
                <w:sz w:val="22"/>
              </w:rPr>
              <w:t xml:space="preserve">Réalisation : Communauté de Communes du Pays de Mauriac, commune de Mauriac, </w:t>
            </w:r>
            <w:r w:rsidR="00FC3313" w:rsidRPr="00414AF3">
              <w:rPr>
                <w:rFonts w:ascii="Times New Roman" w:hAnsi="Times New Roman"/>
                <w:sz w:val="22"/>
              </w:rPr>
              <w:t>UDAP,</w:t>
            </w:r>
            <w:r w:rsidRPr="00414AF3">
              <w:rPr>
                <w:rFonts w:ascii="Times New Roman" w:hAnsi="Times New Roman"/>
                <w:sz w:val="22"/>
              </w:rPr>
              <w:t xml:space="preserve"> Cabinet d'architecte du patrimoine, DDT, bailleurs sociaux, DREAL Auvergne Rhône-Alpes, Fondation du Patrimoine</w:t>
            </w:r>
          </w:p>
        </w:tc>
      </w:tr>
    </w:tbl>
    <w:p w:rsidR="00414AF3" w:rsidRPr="00414AF3" w:rsidRDefault="00414AF3" w:rsidP="00414AF3">
      <w:pPr>
        <w:spacing w:before="120"/>
        <w:jc w:val="both"/>
        <w:rPr>
          <w:rFonts w:ascii="Times New Roman" w:hAnsi="Times New Roman"/>
          <w:sz w:val="22"/>
        </w:rPr>
      </w:pPr>
      <w:r w:rsidRPr="00414AF3">
        <w:rPr>
          <w:rFonts w:ascii="Times New Roman" w:eastAsia="Calibri" w:hAnsi="Times New Roman"/>
          <w:sz w:val="22"/>
          <w:u w:val="single"/>
        </w:rPr>
        <w:lastRenderedPageBreak/>
        <w:t>Résultats/livrables attendus</w:t>
      </w:r>
      <w:r w:rsidRPr="00414AF3">
        <w:rPr>
          <w:rFonts w:ascii="Times New Roman" w:eastAsia="Calibri" w:hAnsi="Times New Roman"/>
          <w:sz w:val="22"/>
        </w:rPr>
        <w:t xml:space="preserve"> :</w:t>
      </w:r>
    </w:p>
    <w:tbl>
      <w:tblPr>
        <w:tblW w:w="10045" w:type="dxa"/>
        <w:tblInd w:w="108" w:type="dxa"/>
        <w:tblLook w:val="04A0" w:firstRow="1" w:lastRow="0" w:firstColumn="1" w:lastColumn="0" w:noHBand="0" w:noVBand="1"/>
      </w:tblPr>
      <w:tblGrid>
        <w:gridCol w:w="10045"/>
      </w:tblGrid>
      <w:tr w:rsidR="00414AF3" w:rsidRPr="00414AF3" w:rsidTr="00414AF3">
        <w:trPr>
          <w:trHeight w:val="740"/>
        </w:trPr>
        <w:tc>
          <w:tcPr>
            <w:tcW w:w="10045" w:type="dxa"/>
            <w:shd w:val="clear" w:color="auto" w:fill="auto"/>
          </w:tcPr>
          <w:p w:rsidR="00414AF3" w:rsidRPr="00414AF3" w:rsidRDefault="00414AF3" w:rsidP="00414AF3">
            <w:pPr>
              <w:jc w:val="both"/>
              <w:rPr>
                <w:rFonts w:ascii="Times New Roman" w:hAnsi="Times New Roman"/>
                <w:sz w:val="22"/>
                <w:szCs w:val="32"/>
              </w:rPr>
            </w:pPr>
            <w:r w:rsidRPr="00414AF3">
              <w:rPr>
                <w:rFonts w:ascii="Times New Roman" w:hAnsi="Times New Roman"/>
                <w:sz w:val="22"/>
              </w:rPr>
              <w:t>Etude de faisabilité technique avec maquettage numérique en 3 D, compte rendu de l'enquête auprès des acteurs locaux</w:t>
            </w:r>
          </w:p>
        </w:tc>
      </w:tr>
    </w:tbl>
    <w:p w:rsidR="00414AF3" w:rsidRPr="00414AF3" w:rsidRDefault="00414AF3" w:rsidP="00414AF3">
      <w:pPr>
        <w:jc w:val="both"/>
        <w:rPr>
          <w:rFonts w:ascii="Times New Roman" w:hAnsi="Times New Roman"/>
          <w:sz w:val="22"/>
        </w:rPr>
      </w:pPr>
    </w:p>
    <w:sectPr w:rsidR="00414AF3" w:rsidRPr="00414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7544"/>
    <w:multiLevelType w:val="hybridMultilevel"/>
    <w:tmpl w:val="09F0A50C"/>
    <w:lvl w:ilvl="0" w:tplc="4A9833A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F0"/>
    <w:rsid w:val="001148F0"/>
    <w:rsid w:val="00414AF3"/>
    <w:rsid w:val="00432164"/>
    <w:rsid w:val="006B53CB"/>
    <w:rsid w:val="00BA22D1"/>
    <w:rsid w:val="00FC3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F3"/>
    <w:pPr>
      <w:spacing w:before="200"/>
    </w:pPr>
    <w:rPr>
      <w:rFonts w:ascii="Calibri" w:eastAsia="Times New Roman" w:hAnsi="Calibri"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8F0"/>
    <w:pPr>
      <w:spacing w:before="0"/>
      <w:ind w:left="720"/>
      <w:contextualSpacing/>
    </w:pPr>
    <w:rPr>
      <w:rFonts w:asciiTheme="minorHAnsi" w:eastAsiaTheme="minorHAnsi" w:hAnsiTheme="minorHAnsi" w:cstheme="minorBidi"/>
      <w:sz w:val="22"/>
      <w:szCs w:val="22"/>
      <w:lang w:eastAsia="en-US"/>
    </w:rPr>
  </w:style>
  <w:style w:type="character" w:styleId="Lienhypertexte">
    <w:name w:val="Hyperlink"/>
    <w:rsid w:val="00414AF3"/>
    <w:rPr>
      <w:color w:val="0000FF"/>
      <w:u w:val="single"/>
    </w:rPr>
  </w:style>
  <w:style w:type="paragraph" w:styleId="Textedebulles">
    <w:name w:val="Balloon Text"/>
    <w:basedOn w:val="Normal"/>
    <w:link w:val="TextedebullesCar"/>
    <w:uiPriority w:val="99"/>
    <w:semiHidden/>
    <w:unhideWhenUsed/>
    <w:rsid w:val="00414AF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AF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F3"/>
    <w:pPr>
      <w:spacing w:before="200"/>
    </w:pPr>
    <w:rPr>
      <w:rFonts w:ascii="Calibri" w:eastAsia="Times New Roman" w:hAnsi="Calibri"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8F0"/>
    <w:pPr>
      <w:spacing w:before="0"/>
      <w:ind w:left="720"/>
      <w:contextualSpacing/>
    </w:pPr>
    <w:rPr>
      <w:rFonts w:asciiTheme="minorHAnsi" w:eastAsiaTheme="minorHAnsi" w:hAnsiTheme="minorHAnsi" w:cstheme="minorBidi"/>
      <w:sz w:val="22"/>
      <w:szCs w:val="22"/>
      <w:lang w:eastAsia="en-US"/>
    </w:rPr>
  </w:style>
  <w:style w:type="character" w:styleId="Lienhypertexte">
    <w:name w:val="Hyperlink"/>
    <w:rsid w:val="00414AF3"/>
    <w:rPr>
      <w:color w:val="0000FF"/>
      <w:u w:val="single"/>
    </w:rPr>
  </w:style>
  <w:style w:type="paragraph" w:styleId="Textedebulles">
    <w:name w:val="Balloon Text"/>
    <w:basedOn w:val="Normal"/>
    <w:link w:val="TextedebullesCar"/>
    <w:uiPriority w:val="99"/>
    <w:semiHidden/>
    <w:unhideWhenUsed/>
    <w:rsid w:val="00414AF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AF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ement.gouv.fr/les-ecoquartier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gratel lucie</dc:creator>
  <cp:lastModifiedBy>gratel lucie</cp:lastModifiedBy>
  <cp:revision>4</cp:revision>
  <dcterms:created xsi:type="dcterms:W3CDTF">2016-09-26T11:54:00Z</dcterms:created>
  <dcterms:modified xsi:type="dcterms:W3CDTF">2016-09-26T12:01:00Z</dcterms:modified>
</cp:coreProperties>
</file>