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81" w:rsidRPr="00731A81" w:rsidRDefault="00731A81" w:rsidP="00731A81">
      <w:pPr>
        <w:spacing w:after="0" w:line="240" w:lineRule="auto"/>
        <w:rPr>
          <w:rFonts w:ascii="Calibri" w:eastAsia="Times New Roman" w:hAnsi="Calibri" w:cs="Times New Roman"/>
          <w:b/>
          <w:sz w:val="44"/>
          <w:szCs w:val="44"/>
          <w:lang w:eastAsia="fr-FR"/>
        </w:rPr>
      </w:pPr>
      <w:r w:rsidRPr="00731A81">
        <w:rPr>
          <w:rFonts w:ascii="Calibri" w:eastAsia="Times New Roman" w:hAnsi="Calibri" w:cs="Times New Roman"/>
          <w:szCs w:val="24"/>
          <w:lang w:eastAsia="fr-FR"/>
        </w:rPr>
        <w:object w:dxaOrig="1670" w:dyaOrig="1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90pt" o:ole="">
            <v:imagedata r:id="rId6" o:title=""/>
          </v:shape>
          <o:OLEObject Type="Embed" ProgID="Word.Document.8" ShapeID="_x0000_i1025" DrawAspect="Content" ObjectID="_1470656956" r:id="rId7"/>
        </w:object>
      </w:r>
    </w:p>
    <w:p w:rsidR="00731A81" w:rsidRPr="00E15824" w:rsidRDefault="00731A81" w:rsidP="00E15824">
      <w:pPr>
        <w:tabs>
          <w:tab w:val="left" w:pos="426"/>
        </w:tabs>
        <w:overflowPunct w:val="0"/>
        <w:autoSpaceDE w:val="0"/>
        <w:autoSpaceDN w:val="0"/>
        <w:adjustRightInd w:val="0"/>
        <w:spacing w:after="0" w:line="240" w:lineRule="auto"/>
        <w:textAlignment w:val="baseline"/>
        <w:rPr>
          <w:rFonts w:ascii="Calibri" w:eastAsia="Times New Roman" w:hAnsi="Calibri" w:cs="Times New Roman"/>
          <w:b/>
          <w:i/>
          <w:szCs w:val="20"/>
          <w:lang w:eastAsia="fr-FR"/>
        </w:rPr>
      </w:pPr>
      <w:r>
        <w:rPr>
          <w:rFonts w:ascii="Calibri" w:eastAsia="Times New Roman" w:hAnsi="Calibri" w:cs="Times New Roman"/>
          <w:b/>
          <w:i/>
          <w:szCs w:val="20"/>
          <w:lang w:eastAsia="fr-FR"/>
        </w:rPr>
        <w:tab/>
      </w:r>
      <w:r>
        <w:rPr>
          <w:rFonts w:ascii="Calibri" w:eastAsia="Times New Roman" w:hAnsi="Calibri" w:cs="Times New Roman"/>
          <w:b/>
          <w:i/>
          <w:szCs w:val="20"/>
          <w:lang w:eastAsia="fr-FR"/>
        </w:rPr>
        <w:tab/>
      </w:r>
      <w:r>
        <w:rPr>
          <w:rFonts w:ascii="Calibri" w:eastAsia="Times New Roman" w:hAnsi="Calibri" w:cs="Times New Roman"/>
          <w:b/>
          <w:i/>
          <w:szCs w:val="20"/>
          <w:lang w:eastAsia="fr-FR"/>
        </w:rPr>
        <w:tab/>
      </w:r>
      <w:r>
        <w:rPr>
          <w:rFonts w:ascii="Calibri" w:eastAsia="Times New Roman" w:hAnsi="Calibri" w:cs="Times New Roman"/>
          <w:b/>
          <w:i/>
          <w:szCs w:val="20"/>
          <w:lang w:eastAsia="fr-FR"/>
        </w:rPr>
        <w:tab/>
      </w:r>
      <w:r>
        <w:rPr>
          <w:rFonts w:ascii="Calibri" w:eastAsia="Times New Roman" w:hAnsi="Calibri" w:cs="Times New Roman"/>
          <w:b/>
          <w:i/>
          <w:szCs w:val="20"/>
          <w:lang w:eastAsia="fr-FR"/>
        </w:rPr>
        <w:tab/>
      </w:r>
      <w:r>
        <w:rPr>
          <w:rFonts w:ascii="Calibri" w:eastAsia="Times New Roman" w:hAnsi="Calibri" w:cs="Times New Roman"/>
          <w:b/>
          <w:i/>
          <w:szCs w:val="20"/>
          <w:lang w:eastAsia="fr-FR"/>
        </w:rPr>
        <w:tab/>
      </w:r>
      <w:r>
        <w:rPr>
          <w:rFonts w:ascii="Calibri" w:eastAsia="Times New Roman" w:hAnsi="Calibri" w:cs="Times New Roman"/>
          <w:b/>
          <w:i/>
          <w:szCs w:val="20"/>
          <w:lang w:eastAsia="fr-FR"/>
        </w:rPr>
        <w:tab/>
      </w:r>
      <w:r>
        <w:rPr>
          <w:rFonts w:ascii="Calibri" w:eastAsia="Times New Roman" w:hAnsi="Calibri" w:cs="Times New Roman"/>
          <w:b/>
          <w:i/>
          <w:szCs w:val="20"/>
          <w:lang w:eastAsia="fr-FR"/>
        </w:rPr>
        <w:tab/>
      </w:r>
      <w:r>
        <w:rPr>
          <w:rFonts w:ascii="Calibri" w:eastAsia="Times New Roman" w:hAnsi="Calibri" w:cs="Times New Roman"/>
          <w:b/>
          <w:i/>
          <w:szCs w:val="20"/>
          <w:lang w:eastAsia="fr-FR"/>
        </w:rPr>
        <w:tab/>
      </w:r>
      <w:r w:rsidR="00E15824">
        <w:rPr>
          <w:rFonts w:ascii="Calibri" w:eastAsia="Times New Roman" w:hAnsi="Calibri" w:cs="Times New Roman"/>
          <w:b/>
          <w:i/>
          <w:szCs w:val="20"/>
          <w:lang w:eastAsia="fr-FR"/>
        </w:rPr>
        <w:t xml:space="preserve"> </w:t>
      </w:r>
    </w:p>
    <w:p w:rsidR="00731A81" w:rsidRPr="00731A81" w:rsidRDefault="00C74638" w:rsidP="00731A81">
      <w:pPr>
        <w:spacing w:after="0" w:line="240" w:lineRule="auto"/>
        <w:jc w:val="center"/>
        <w:outlineLvl w:val="4"/>
        <w:rPr>
          <w:rFonts w:ascii="Calibri" w:eastAsia="Times New Roman" w:hAnsi="Calibri" w:cs="Times New Roman"/>
          <w:b/>
          <w:bCs/>
          <w:iCs/>
          <w:sz w:val="28"/>
          <w:szCs w:val="28"/>
          <w:lang w:eastAsia="fr-FR"/>
        </w:rPr>
      </w:pPr>
      <w:r>
        <w:rPr>
          <w:rFonts w:ascii="Calibri" w:eastAsia="Times New Roman" w:hAnsi="Calibri" w:cs="Times New Roman"/>
          <w:b/>
          <w:bCs/>
          <w:iCs/>
          <w:sz w:val="28"/>
          <w:szCs w:val="28"/>
          <w:lang w:eastAsia="fr-FR"/>
        </w:rPr>
        <w:t>Présentation du projet des Hauts Prés en vue de l’obtention d’u</w:t>
      </w:r>
      <w:r w:rsidR="007D2E71">
        <w:rPr>
          <w:rFonts w:ascii="Calibri" w:eastAsia="Times New Roman" w:hAnsi="Calibri" w:cs="Times New Roman"/>
          <w:b/>
          <w:bCs/>
          <w:iCs/>
          <w:sz w:val="28"/>
          <w:szCs w:val="28"/>
          <w:lang w:eastAsia="fr-FR"/>
        </w:rPr>
        <w:t xml:space="preserve">ne subvention </w:t>
      </w:r>
      <w:r w:rsidR="001C1302">
        <w:rPr>
          <w:rFonts w:ascii="Calibri" w:eastAsia="Times New Roman" w:hAnsi="Calibri" w:cs="Times New Roman"/>
          <w:b/>
          <w:bCs/>
          <w:iCs/>
          <w:sz w:val="28"/>
          <w:szCs w:val="28"/>
          <w:lang w:eastAsia="fr-FR"/>
        </w:rPr>
        <w:t>de l’Agence de l’Eau Seine Normandie</w:t>
      </w:r>
      <w:r w:rsidR="00731A81" w:rsidRPr="00731A81">
        <w:rPr>
          <w:rFonts w:ascii="Calibri" w:eastAsia="Times New Roman" w:hAnsi="Calibri" w:cs="Times New Roman"/>
          <w:b/>
          <w:bCs/>
          <w:iCs/>
          <w:sz w:val="28"/>
          <w:szCs w:val="28"/>
          <w:lang w:eastAsia="fr-FR"/>
        </w:rPr>
        <w:t xml:space="preserve"> </w:t>
      </w:r>
    </w:p>
    <w:p w:rsidR="00731A81" w:rsidRPr="00731A81" w:rsidRDefault="00731A81" w:rsidP="00731A81">
      <w:pPr>
        <w:spacing w:after="0" w:line="240" w:lineRule="auto"/>
        <w:jc w:val="center"/>
        <w:rPr>
          <w:rFonts w:ascii="Calibri" w:eastAsia="Times New Roman" w:hAnsi="Calibri" w:cs="Times New Roman"/>
          <w:szCs w:val="24"/>
          <w:lang w:eastAsia="fr-FR"/>
        </w:rPr>
      </w:pPr>
    </w:p>
    <w:p w:rsidR="00731A81" w:rsidRDefault="00731A81" w:rsidP="00E15824">
      <w:pPr>
        <w:keepNext/>
        <w:spacing w:after="0" w:line="240" w:lineRule="auto"/>
        <w:outlineLvl w:val="2"/>
        <w:rPr>
          <w:rFonts w:eastAsia="Times New Roman" w:cs="Times New Roman"/>
          <w:bCs/>
          <w:i/>
          <w:lang w:eastAsia="fr-FR"/>
        </w:rPr>
      </w:pPr>
      <w:r w:rsidRPr="00731A81">
        <w:rPr>
          <w:rFonts w:eastAsia="Times New Roman" w:cs="Times New Roman"/>
          <w:bCs/>
          <w:i/>
          <w:lang w:eastAsia="fr-FR"/>
        </w:rPr>
        <w:t xml:space="preserve">Affaire </w:t>
      </w:r>
      <w:r w:rsidR="00E15824">
        <w:rPr>
          <w:rFonts w:eastAsia="Times New Roman" w:cs="Times New Roman"/>
          <w:bCs/>
          <w:i/>
          <w:lang w:eastAsia="fr-FR"/>
        </w:rPr>
        <w:t>suivie par Pierre-Julien BAVENT</w:t>
      </w:r>
    </w:p>
    <w:p w:rsidR="00E15824" w:rsidRPr="00E15824" w:rsidRDefault="00E15824" w:rsidP="00E15824">
      <w:pPr>
        <w:keepNext/>
        <w:spacing w:after="0" w:line="240" w:lineRule="auto"/>
        <w:outlineLvl w:val="2"/>
        <w:rPr>
          <w:rFonts w:eastAsia="Times New Roman" w:cs="Times New Roman"/>
          <w:bCs/>
          <w:i/>
          <w:lang w:eastAsia="fr-FR"/>
        </w:rPr>
      </w:pPr>
    </w:p>
    <w:p w:rsidR="00731A81" w:rsidRDefault="00E15824" w:rsidP="00731A81">
      <w:pPr>
        <w:keepNext/>
        <w:spacing w:after="0" w:line="240" w:lineRule="auto"/>
        <w:ind w:right="-289"/>
        <w:jc w:val="both"/>
        <w:outlineLvl w:val="0"/>
        <w:rPr>
          <w:rFonts w:eastAsia="Times New Roman" w:cs="Times New Roman"/>
          <w:bCs/>
          <w:kern w:val="32"/>
          <w:sz w:val="28"/>
          <w:szCs w:val="28"/>
          <w:lang w:eastAsia="fr-FR"/>
        </w:rPr>
      </w:pPr>
      <w:r>
        <w:rPr>
          <w:rFonts w:eastAsia="Times New Roman" w:cs="Times New Roman"/>
          <w:bCs/>
          <w:kern w:val="32"/>
          <w:sz w:val="28"/>
          <w:szCs w:val="28"/>
          <w:lang w:eastAsia="fr-FR"/>
        </w:rPr>
        <w:t>Objet : Les Hauts Prés</w:t>
      </w:r>
      <w:r w:rsidR="00C74638">
        <w:rPr>
          <w:rFonts w:eastAsia="Times New Roman" w:cs="Times New Roman"/>
          <w:bCs/>
          <w:kern w:val="32"/>
          <w:sz w:val="28"/>
          <w:szCs w:val="28"/>
          <w:lang w:eastAsia="fr-FR"/>
        </w:rPr>
        <w:t>, travaux d’aménagement</w:t>
      </w:r>
      <w:r w:rsidR="00E25EC6">
        <w:rPr>
          <w:rFonts w:eastAsia="Times New Roman" w:cs="Times New Roman"/>
          <w:bCs/>
          <w:kern w:val="32"/>
          <w:sz w:val="28"/>
          <w:szCs w:val="28"/>
          <w:lang w:eastAsia="fr-FR"/>
        </w:rPr>
        <w:t xml:space="preserve"> du bâtiment</w:t>
      </w:r>
    </w:p>
    <w:p w:rsidR="00E15824" w:rsidRPr="00E15824" w:rsidRDefault="00E15824" w:rsidP="00731A81">
      <w:pPr>
        <w:keepNext/>
        <w:spacing w:after="0" w:line="240" w:lineRule="auto"/>
        <w:ind w:right="-289"/>
        <w:jc w:val="both"/>
        <w:outlineLvl w:val="0"/>
        <w:rPr>
          <w:rFonts w:eastAsia="Times New Roman" w:cs="Times New Roman"/>
          <w:bCs/>
          <w:kern w:val="32"/>
          <w:sz w:val="28"/>
          <w:szCs w:val="28"/>
          <w:lang w:eastAsia="fr-FR"/>
        </w:rPr>
      </w:pPr>
    </w:p>
    <w:p w:rsidR="00BD1ED8" w:rsidRPr="007A764B" w:rsidRDefault="00BD1ED8" w:rsidP="00731A81">
      <w:pPr>
        <w:jc w:val="center"/>
        <w:rPr>
          <w:b/>
          <w:u w:val="single"/>
        </w:rPr>
      </w:pPr>
      <w:r w:rsidRPr="007A764B">
        <w:rPr>
          <w:b/>
          <w:u w:val="single"/>
        </w:rPr>
        <w:t>Un projet unique en Haute Normandie avec une visibilité nationale.</w:t>
      </w:r>
    </w:p>
    <w:p w:rsidR="0099346E" w:rsidRPr="0099346E" w:rsidRDefault="0099346E" w:rsidP="0099346E">
      <w:pPr>
        <w:pStyle w:val="Paragraphedeliste"/>
        <w:numPr>
          <w:ilvl w:val="0"/>
          <w:numId w:val="3"/>
        </w:numPr>
        <w:spacing w:after="0" w:line="240" w:lineRule="auto"/>
        <w:ind w:right="-50"/>
        <w:jc w:val="both"/>
        <w:rPr>
          <w:rFonts w:eastAsia="Times New Roman" w:cs="Times New Roman"/>
          <w:sz w:val="24"/>
          <w:szCs w:val="24"/>
          <w:u w:val="single"/>
          <w:lang w:eastAsia="fr-FR"/>
        </w:rPr>
      </w:pPr>
      <w:r w:rsidRPr="0099346E">
        <w:rPr>
          <w:rFonts w:eastAsia="Times New Roman" w:cs="Times New Roman"/>
          <w:sz w:val="24"/>
          <w:szCs w:val="24"/>
          <w:u w:val="single"/>
          <w:lang w:eastAsia="fr-FR"/>
        </w:rPr>
        <w:t>Propos liminaires</w:t>
      </w:r>
    </w:p>
    <w:p w:rsidR="0099346E" w:rsidRDefault="0099346E" w:rsidP="0099346E">
      <w:pPr>
        <w:pStyle w:val="Paragraphedeliste"/>
        <w:spacing w:after="0" w:line="240" w:lineRule="auto"/>
        <w:ind w:right="-50"/>
        <w:jc w:val="both"/>
        <w:rPr>
          <w:rFonts w:eastAsia="Times New Roman" w:cs="Times New Roman"/>
          <w:sz w:val="24"/>
          <w:szCs w:val="24"/>
          <w:lang w:eastAsia="fr-FR"/>
        </w:rPr>
      </w:pPr>
    </w:p>
    <w:p w:rsidR="0099346E" w:rsidRDefault="0099346E" w:rsidP="0099346E">
      <w:pPr>
        <w:spacing w:after="0" w:line="240" w:lineRule="auto"/>
        <w:ind w:right="-50"/>
        <w:jc w:val="both"/>
        <w:rPr>
          <w:rFonts w:eastAsia="Times New Roman" w:cs="Times New Roman"/>
          <w:sz w:val="24"/>
          <w:szCs w:val="24"/>
          <w:lang w:eastAsia="fr-FR"/>
        </w:rPr>
      </w:pPr>
      <w:r w:rsidRPr="0099346E">
        <w:rPr>
          <w:rFonts w:eastAsia="Times New Roman" w:cs="Times New Roman"/>
          <w:sz w:val="24"/>
          <w:szCs w:val="24"/>
          <w:lang w:eastAsia="fr-FR"/>
        </w:rPr>
        <w:t>Basé sur la volonté de protéger la ressource en eau, le projet des Hauts Prés, situé sur la commune de Val-de-Reuil (27100), constitue le point de départ d’une politique transversale basée sur l’économie circulaire intégrant les problématiques suivantes:</w:t>
      </w:r>
    </w:p>
    <w:p w:rsidR="0099346E" w:rsidRPr="0099346E" w:rsidRDefault="0099346E" w:rsidP="0099346E">
      <w:pPr>
        <w:spacing w:after="0" w:line="240" w:lineRule="auto"/>
        <w:ind w:right="-50"/>
        <w:jc w:val="both"/>
        <w:rPr>
          <w:rFonts w:eastAsia="Times New Roman" w:cs="Times New Roman"/>
          <w:sz w:val="24"/>
          <w:szCs w:val="24"/>
          <w:lang w:eastAsia="fr-FR"/>
        </w:rPr>
      </w:pPr>
    </w:p>
    <w:p w:rsidR="0099346E" w:rsidRDefault="0099346E" w:rsidP="0099346E">
      <w:pPr>
        <w:pStyle w:val="Paragraphedeliste"/>
        <w:numPr>
          <w:ilvl w:val="0"/>
          <w:numId w:val="2"/>
        </w:numPr>
        <w:spacing w:after="0" w:line="240" w:lineRule="auto"/>
        <w:ind w:right="-50"/>
        <w:jc w:val="both"/>
        <w:rPr>
          <w:rFonts w:eastAsia="Times New Roman" w:cs="Times New Roman"/>
          <w:sz w:val="24"/>
          <w:szCs w:val="24"/>
          <w:lang w:eastAsia="fr-FR"/>
        </w:rPr>
      </w:pPr>
      <w:r>
        <w:rPr>
          <w:rFonts w:eastAsia="Times New Roman" w:cs="Times New Roman"/>
          <w:sz w:val="24"/>
          <w:szCs w:val="24"/>
          <w:lang w:eastAsia="fr-FR"/>
        </w:rPr>
        <w:t>Maintien d’une</w:t>
      </w:r>
      <w:r w:rsidRPr="00657233">
        <w:rPr>
          <w:rFonts w:eastAsia="Times New Roman" w:cs="Times New Roman"/>
          <w:sz w:val="24"/>
          <w:szCs w:val="24"/>
          <w:lang w:eastAsia="fr-FR"/>
        </w:rPr>
        <w:t xml:space="preserve"> l’agriculture péri-urb</w:t>
      </w:r>
      <w:r>
        <w:rPr>
          <w:rFonts w:eastAsia="Times New Roman" w:cs="Times New Roman"/>
          <w:sz w:val="24"/>
          <w:szCs w:val="24"/>
          <w:lang w:eastAsia="fr-FR"/>
        </w:rPr>
        <w:t xml:space="preserve">aine, </w:t>
      </w:r>
    </w:p>
    <w:p w:rsidR="0099346E" w:rsidRPr="004F4EDC" w:rsidRDefault="0099346E" w:rsidP="0099346E">
      <w:pPr>
        <w:pStyle w:val="Paragraphedeliste"/>
        <w:numPr>
          <w:ilvl w:val="0"/>
          <w:numId w:val="2"/>
        </w:numPr>
        <w:spacing w:after="0" w:line="240" w:lineRule="auto"/>
        <w:ind w:right="-50"/>
        <w:jc w:val="both"/>
        <w:rPr>
          <w:rFonts w:eastAsia="Times New Roman" w:cs="Times New Roman"/>
          <w:sz w:val="24"/>
          <w:szCs w:val="24"/>
          <w:lang w:eastAsia="fr-FR"/>
        </w:rPr>
      </w:pPr>
      <w:r>
        <w:rPr>
          <w:rFonts w:eastAsia="Times New Roman" w:cs="Times New Roman"/>
          <w:sz w:val="24"/>
          <w:szCs w:val="24"/>
          <w:lang w:eastAsia="fr-FR"/>
        </w:rPr>
        <w:t>Création d’emplois intégrant l’</w:t>
      </w:r>
      <w:r w:rsidRPr="004F4EDC">
        <w:rPr>
          <w:rFonts w:eastAsia="Times New Roman" w:cs="Times New Roman"/>
          <w:sz w:val="24"/>
          <w:szCs w:val="24"/>
          <w:lang w:eastAsia="fr-FR"/>
        </w:rPr>
        <w:t>économie sociale et solidaire,</w:t>
      </w:r>
    </w:p>
    <w:p w:rsidR="0099346E" w:rsidRDefault="0099346E" w:rsidP="0099346E">
      <w:pPr>
        <w:pStyle w:val="Paragraphedeliste"/>
        <w:numPr>
          <w:ilvl w:val="0"/>
          <w:numId w:val="2"/>
        </w:numPr>
        <w:spacing w:after="0" w:line="240" w:lineRule="auto"/>
        <w:ind w:right="-50"/>
        <w:jc w:val="both"/>
        <w:rPr>
          <w:rFonts w:eastAsia="Times New Roman" w:cs="Times New Roman"/>
          <w:sz w:val="24"/>
          <w:szCs w:val="24"/>
          <w:lang w:eastAsia="fr-FR"/>
        </w:rPr>
      </w:pPr>
      <w:r>
        <w:rPr>
          <w:rFonts w:eastAsia="Times New Roman" w:cs="Times New Roman"/>
          <w:sz w:val="24"/>
          <w:szCs w:val="24"/>
          <w:lang w:eastAsia="fr-FR"/>
        </w:rPr>
        <w:t>C</w:t>
      </w:r>
      <w:r w:rsidRPr="00657233">
        <w:rPr>
          <w:rFonts w:eastAsia="Times New Roman" w:cs="Times New Roman"/>
          <w:sz w:val="24"/>
          <w:szCs w:val="24"/>
          <w:lang w:eastAsia="fr-FR"/>
        </w:rPr>
        <w:t>réation de circuits court</w:t>
      </w:r>
      <w:r>
        <w:rPr>
          <w:rFonts w:eastAsia="Times New Roman" w:cs="Times New Roman"/>
          <w:sz w:val="24"/>
          <w:szCs w:val="24"/>
          <w:lang w:eastAsia="fr-FR"/>
        </w:rPr>
        <w:t>s biologiques, approvisionnement de la restauration scolaire et collective du territoire,</w:t>
      </w:r>
    </w:p>
    <w:p w:rsidR="0099346E" w:rsidRDefault="0099346E" w:rsidP="0099346E">
      <w:pPr>
        <w:pStyle w:val="Paragraphedeliste"/>
        <w:numPr>
          <w:ilvl w:val="0"/>
          <w:numId w:val="2"/>
        </w:numPr>
        <w:spacing w:after="0" w:line="240" w:lineRule="auto"/>
        <w:ind w:right="-50"/>
        <w:jc w:val="both"/>
        <w:rPr>
          <w:rFonts w:eastAsia="Times New Roman" w:cs="Times New Roman"/>
          <w:sz w:val="24"/>
          <w:szCs w:val="24"/>
          <w:lang w:eastAsia="fr-FR"/>
        </w:rPr>
      </w:pPr>
      <w:r>
        <w:rPr>
          <w:rFonts w:eastAsia="Times New Roman" w:cs="Times New Roman"/>
          <w:sz w:val="24"/>
          <w:szCs w:val="24"/>
          <w:lang w:eastAsia="fr-FR"/>
        </w:rPr>
        <w:t>Prévention santé et sobriété énergétique,</w:t>
      </w:r>
    </w:p>
    <w:p w:rsidR="0099346E" w:rsidRDefault="0099346E" w:rsidP="0099346E">
      <w:pPr>
        <w:pStyle w:val="Paragraphedeliste"/>
        <w:numPr>
          <w:ilvl w:val="0"/>
          <w:numId w:val="2"/>
        </w:numPr>
        <w:spacing w:after="0" w:line="240" w:lineRule="auto"/>
        <w:ind w:right="-50"/>
        <w:jc w:val="both"/>
        <w:rPr>
          <w:rFonts w:eastAsia="Times New Roman" w:cs="Times New Roman"/>
          <w:sz w:val="24"/>
          <w:szCs w:val="24"/>
          <w:lang w:eastAsia="fr-FR"/>
        </w:rPr>
      </w:pPr>
      <w:r>
        <w:rPr>
          <w:rFonts w:eastAsia="Times New Roman" w:cs="Times New Roman"/>
          <w:sz w:val="24"/>
          <w:szCs w:val="24"/>
          <w:lang w:eastAsia="fr-FR"/>
        </w:rPr>
        <w:t>G</w:t>
      </w:r>
      <w:r w:rsidRPr="00657233">
        <w:rPr>
          <w:rFonts w:eastAsia="Times New Roman" w:cs="Times New Roman"/>
          <w:sz w:val="24"/>
          <w:szCs w:val="24"/>
          <w:lang w:eastAsia="fr-FR"/>
        </w:rPr>
        <w:t xml:space="preserve">arantie d’une eau de qualité </w:t>
      </w:r>
      <w:r>
        <w:rPr>
          <w:rFonts w:eastAsia="Times New Roman" w:cs="Times New Roman"/>
          <w:sz w:val="24"/>
          <w:szCs w:val="24"/>
          <w:lang w:eastAsia="fr-FR"/>
        </w:rPr>
        <w:t xml:space="preserve">pour la population et les industriels du secteur. </w:t>
      </w:r>
    </w:p>
    <w:p w:rsidR="0099346E" w:rsidRDefault="0099346E" w:rsidP="0099346E">
      <w:pPr>
        <w:pStyle w:val="Paragraphedeliste"/>
        <w:spacing w:after="0" w:line="240" w:lineRule="auto"/>
        <w:ind w:right="-50"/>
        <w:jc w:val="both"/>
        <w:rPr>
          <w:rFonts w:eastAsia="Times New Roman" w:cs="Times New Roman"/>
          <w:sz w:val="24"/>
          <w:szCs w:val="24"/>
          <w:lang w:eastAsia="fr-FR"/>
        </w:rPr>
      </w:pPr>
    </w:p>
    <w:p w:rsidR="0099346E" w:rsidRPr="00657233" w:rsidRDefault="0099346E" w:rsidP="0099346E">
      <w:pPr>
        <w:spacing w:after="0" w:line="240" w:lineRule="auto"/>
        <w:ind w:right="-50"/>
        <w:jc w:val="both"/>
        <w:rPr>
          <w:rFonts w:eastAsia="Times New Roman" w:cs="Times New Roman"/>
          <w:sz w:val="24"/>
          <w:szCs w:val="24"/>
          <w:lang w:eastAsia="fr-FR"/>
        </w:rPr>
      </w:pPr>
      <w:r>
        <w:rPr>
          <w:rFonts w:eastAsia="Times New Roman" w:cs="Times New Roman"/>
          <w:sz w:val="24"/>
          <w:szCs w:val="24"/>
          <w:lang w:eastAsia="fr-FR"/>
        </w:rPr>
        <w:t xml:space="preserve">Ces </w:t>
      </w:r>
      <w:r w:rsidRPr="00657233">
        <w:rPr>
          <w:rFonts w:eastAsia="Times New Roman" w:cs="Times New Roman"/>
          <w:sz w:val="24"/>
          <w:szCs w:val="24"/>
          <w:lang w:eastAsia="fr-FR"/>
        </w:rPr>
        <w:t xml:space="preserve">éléments </w:t>
      </w:r>
      <w:r>
        <w:rPr>
          <w:rFonts w:eastAsia="Times New Roman" w:cs="Times New Roman"/>
          <w:sz w:val="24"/>
          <w:szCs w:val="24"/>
          <w:lang w:eastAsia="fr-FR"/>
        </w:rPr>
        <w:t xml:space="preserve">sont </w:t>
      </w:r>
      <w:r w:rsidRPr="00657233">
        <w:rPr>
          <w:rFonts w:eastAsia="Times New Roman" w:cs="Times New Roman"/>
          <w:sz w:val="24"/>
          <w:szCs w:val="24"/>
          <w:lang w:eastAsia="fr-FR"/>
        </w:rPr>
        <w:t>constitutifs d’une politique a</w:t>
      </w:r>
      <w:r>
        <w:rPr>
          <w:rFonts w:eastAsia="Times New Roman" w:cs="Times New Roman"/>
          <w:sz w:val="24"/>
          <w:szCs w:val="24"/>
          <w:lang w:eastAsia="fr-FR"/>
        </w:rPr>
        <w:t>boutie de développement durable engagée par l’Agenda 21 de l’agglomération.</w:t>
      </w:r>
    </w:p>
    <w:p w:rsidR="0099346E" w:rsidRPr="0099346E" w:rsidRDefault="0099346E" w:rsidP="0099346E">
      <w:pPr>
        <w:spacing w:after="0" w:line="240" w:lineRule="auto"/>
        <w:ind w:right="-50"/>
        <w:jc w:val="both"/>
        <w:rPr>
          <w:rFonts w:eastAsia="Times New Roman" w:cs="Times New Roman"/>
          <w:sz w:val="24"/>
          <w:szCs w:val="24"/>
          <w:lang w:eastAsia="fr-FR"/>
        </w:rPr>
      </w:pPr>
    </w:p>
    <w:p w:rsidR="0099346E" w:rsidRDefault="0099346E" w:rsidP="0099346E">
      <w:pPr>
        <w:pStyle w:val="Paragraphedeliste"/>
        <w:spacing w:after="0" w:line="240" w:lineRule="auto"/>
        <w:ind w:right="-50"/>
        <w:jc w:val="both"/>
        <w:rPr>
          <w:rFonts w:eastAsia="Times New Roman" w:cs="Times New Roman"/>
          <w:sz w:val="24"/>
          <w:szCs w:val="24"/>
          <w:lang w:eastAsia="fr-FR"/>
        </w:rPr>
      </w:pPr>
    </w:p>
    <w:p w:rsidR="0099346E" w:rsidRPr="0099346E" w:rsidRDefault="0099346E" w:rsidP="0099346E">
      <w:pPr>
        <w:pStyle w:val="Paragraphedeliste"/>
        <w:numPr>
          <w:ilvl w:val="0"/>
          <w:numId w:val="3"/>
        </w:numPr>
        <w:spacing w:after="0" w:line="240" w:lineRule="auto"/>
        <w:ind w:right="-50"/>
        <w:jc w:val="both"/>
        <w:rPr>
          <w:rFonts w:eastAsia="Times New Roman" w:cs="Times New Roman"/>
          <w:sz w:val="24"/>
          <w:szCs w:val="24"/>
          <w:u w:val="single"/>
          <w:lang w:eastAsia="fr-FR"/>
        </w:rPr>
      </w:pPr>
      <w:r w:rsidRPr="0099346E">
        <w:rPr>
          <w:rFonts w:eastAsia="Times New Roman" w:cs="Times New Roman"/>
          <w:sz w:val="24"/>
          <w:szCs w:val="24"/>
          <w:u w:val="single"/>
          <w:lang w:eastAsia="fr-FR"/>
        </w:rPr>
        <w:t>Mise en place du projet et développement</w:t>
      </w:r>
    </w:p>
    <w:p w:rsidR="0099346E" w:rsidRPr="0099346E" w:rsidRDefault="0099346E" w:rsidP="0099346E">
      <w:pPr>
        <w:spacing w:after="0" w:line="240" w:lineRule="auto"/>
        <w:ind w:right="-50"/>
        <w:jc w:val="both"/>
        <w:rPr>
          <w:rFonts w:eastAsia="Times New Roman" w:cs="Times New Roman"/>
          <w:sz w:val="24"/>
          <w:szCs w:val="24"/>
          <w:lang w:eastAsia="fr-FR"/>
        </w:rPr>
      </w:pPr>
    </w:p>
    <w:p w:rsidR="0099346E" w:rsidRPr="0099346E" w:rsidRDefault="0099346E" w:rsidP="0099346E">
      <w:pPr>
        <w:spacing w:after="0" w:line="240" w:lineRule="auto"/>
        <w:ind w:right="-50"/>
        <w:jc w:val="both"/>
        <w:rPr>
          <w:rFonts w:eastAsia="Times New Roman" w:cs="Times New Roman"/>
          <w:sz w:val="24"/>
          <w:szCs w:val="24"/>
          <w:lang w:eastAsia="fr-FR"/>
        </w:rPr>
      </w:pPr>
      <w:r w:rsidRPr="0099346E">
        <w:rPr>
          <w:rFonts w:eastAsia="Times New Roman" w:cs="Times New Roman"/>
          <w:sz w:val="24"/>
          <w:szCs w:val="24"/>
          <w:lang w:eastAsia="fr-FR"/>
        </w:rPr>
        <w:t>L’acquisition de 110 hectares de terres agricoles dans le  Périmètre de Protection Rapproché  (PPR) du champ captant des Hauts Prés s’est déroulée entre 2009 et 2011. Depuis, les neu</w:t>
      </w:r>
      <w:r w:rsidR="009E0BC5">
        <w:rPr>
          <w:rFonts w:eastAsia="Times New Roman" w:cs="Times New Roman"/>
          <w:sz w:val="24"/>
          <w:szCs w:val="24"/>
          <w:lang w:eastAsia="fr-FR"/>
        </w:rPr>
        <w:t>fs exploitants, 4 céréaliers, 5</w:t>
      </w:r>
      <w:r w:rsidRPr="0099346E">
        <w:rPr>
          <w:rFonts w:eastAsia="Times New Roman" w:cs="Times New Roman"/>
          <w:sz w:val="24"/>
          <w:szCs w:val="24"/>
          <w:lang w:eastAsia="fr-FR"/>
        </w:rPr>
        <w:t xml:space="preserve"> maraichers</w:t>
      </w:r>
      <w:r w:rsidR="009E0BC5">
        <w:rPr>
          <w:rFonts w:eastAsia="Times New Roman" w:cs="Times New Roman"/>
          <w:sz w:val="24"/>
          <w:szCs w:val="24"/>
          <w:lang w:eastAsia="fr-FR"/>
        </w:rPr>
        <w:t xml:space="preserve"> et un apiculteur</w:t>
      </w:r>
      <w:r w:rsidRPr="0099346E">
        <w:rPr>
          <w:rFonts w:eastAsia="Times New Roman" w:cs="Times New Roman"/>
          <w:sz w:val="24"/>
          <w:szCs w:val="24"/>
          <w:lang w:eastAsia="fr-FR"/>
        </w:rPr>
        <w:t>, se sont engagés dans une démarche de conversion en agriculture biologique comme l’imposent les baux ruraux environnementaux signés avec la CASE. L’ensemble des terres sera certifié en agriculture biologique en novembre 2014. (Voir carte de la répartition des parcelles en pièce-jointe).</w:t>
      </w:r>
    </w:p>
    <w:p w:rsidR="0099346E" w:rsidRDefault="0099346E" w:rsidP="0099346E">
      <w:pPr>
        <w:spacing w:after="0" w:line="240" w:lineRule="auto"/>
        <w:ind w:right="-50"/>
        <w:jc w:val="both"/>
        <w:rPr>
          <w:rFonts w:eastAsia="Times New Roman" w:cs="Times New Roman"/>
          <w:sz w:val="24"/>
          <w:szCs w:val="24"/>
          <w:lang w:eastAsia="fr-FR"/>
        </w:rPr>
      </w:pPr>
      <w:r w:rsidRPr="0099346E">
        <w:rPr>
          <w:rFonts w:eastAsia="Times New Roman" w:cs="Times New Roman"/>
          <w:sz w:val="24"/>
          <w:szCs w:val="24"/>
          <w:lang w:eastAsia="fr-FR"/>
        </w:rPr>
        <w:t>A l’échelle du département de l’Eure, les 9 exploitants représentent 9% des</w:t>
      </w:r>
      <w:r>
        <w:rPr>
          <w:rFonts w:eastAsia="Times New Roman" w:cs="Times New Roman"/>
          <w:sz w:val="24"/>
          <w:szCs w:val="24"/>
          <w:lang w:eastAsia="fr-FR"/>
        </w:rPr>
        <w:t xml:space="preserve"> exploitations</w:t>
      </w:r>
      <w:r w:rsidRPr="0099346E">
        <w:rPr>
          <w:rFonts w:eastAsia="Times New Roman" w:cs="Times New Roman"/>
          <w:sz w:val="24"/>
          <w:szCs w:val="24"/>
          <w:lang w:eastAsia="fr-FR"/>
        </w:rPr>
        <w:t xml:space="preserve"> bio et les 110 hectares représentent 3% des surfaces converties. </w:t>
      </w:r>
    </w:p>
    <w:p w:rsidR="0099346E" w:rsidRPr="0099346E" w:rsidRDefault="0099346E" w:rsidP="0099346E">
      <w:pPr>
        <w:spacing w:after="0" w:line="240" w:lineRule="auto"/>
        <w:ind w:right="-50"/>
        <w:jc w:val="both"/>
        <w:rPr>
          <w:rFonts w:eastAsia="Times New Roman" w:cs="Times New Roman"/>
          <w:sz w:val="24"/>
          <w:szCs w:val="24"/>
          <w:lang w:eastAsia="fr-FR"/>
        </w:rPr>
      </w:pPr>
    </w:p>
    <w:p w:rsidR="0099346E" w:rsidRPr="0099346E" w:rsidRDefault="0099346E" w:rsidP="0099346E">
      <w:pPr>
        <w:spacing w:after="0" w:line="240" w:lineRule="auto"/>
        <w:ind w:right="-50"/>
        <w:jc w:val="both"/>
        <w:rPr>
          <w:rFonts w:eastAsia="Times New Roman" w:cs="Times New Roman"/>
          <w:sz w:val="24"/>
          <w:szCs w:val="24"/>
          <w:lang w:eastAsia="fr-FR"/>
        </w:rPr>
      </w:pPr>
      <w:r w:rsidRPr="0099346E">
        <w:rPr>
          <w:rFonts w:eastAsia="Times New Roman" w:cs="Times New Roman"/>
          <w:sz w:val="24"/>
          <w:szCs w:val="24"/>
          <w:lang w:eastAsia="fr-FR"/>
        </w:rPr>
        <w:t xml:space="preserve">Après cette étape </w:t>
      </w:r>
      <w:r w:rsidR="009E0BC5">
        <w:rPr>
          <w:rFonts w:eastAsia="Times New Roman" w:cs="Times New Roman"/>
          <w:sz w:val="24"/>
          <w:szCs w:val="24"/>
          <w:lang w:eastAsia="fr-FR"/>
        </w:rPr>
        <w:t>basée</w:t>
      </w:r>
      <w:r w:rsidRPr="0099346E">
        <w:rPr>
          <w:rFonts w:eastAsia="Times New Roman" w:cs="Times New Roman"/>
          <w:sz w:val="24"/>
          <w:szCs w:val="24"/>
          <w:lang w:eastAsia="fr-FR"/>
        </w:rPr>
        <w:t xml:space="preserve"> sur le foncier, la CASE s’est porté acquéreuse d’une friche industrielle attenante à la zone de maraichage en 2012. </w:t>
      </w:r>
    </w:p>
    <w:p w:rsidR="0099346E" w:rsidRDefault="0099346E" w:rsidP="0099346E">
      <w:pPr>
        <w:spacing w:after="0" w:line="240" w:lineRule="auto"/>
        <w:ind w:right="-50"/>
        <w:jc w:val="both"/>
        <w:rPr>
          <w:rFonts w:eastAsia="Times New Roman" w:cs="Times New Roman"/>
          <w:sz w:val="24"/>
          <w:szCs w:val="24"/>
          <w:lang w:eastAsia="fr-FR"/>
        </w:rPr>
      </w:pPr>
      <w:r w:rsidRPr="0099346E">
        <w:rPr>
          <w:rFonts w:eastAsia="Times New Roman" w:cs="Times New Roman"/>
          <w:sz w:val="24"/>
          <w:szCs w:val="24"/>
          <w:lang w:eastAsia="fr-FR"/>
        </w:rPr>
        <w:lastRenderedPageBreak/>
        <w:t xml:space="preserve">L’aboutissement du projet passe désormais par l’aménagement de cette friche en « Pôle Régional d’Agriculture Biologique ». Cette appellation se base sur la présence de tous les acteurs institutionnels de la filière bio en région ainsi que de plusieurs porteurs de projets. Le Groupement Régional des Agriculteurs Biologiques Hauts-Normands (GRAB HN), Inter Bio Normandie (IBN), Terre Bio Normandie (TBN), l’association YSOS et </w:t>
      </w:r>
      <w:proofErr w:type="spellStart"/>
      <w:r w:rsidRPr="0099346E">
        <w:rPr>
          <w:rFonts w:eastAsia="Times New Roman" w:cs="Times New Roman"/>
          <w:sz w:val="24"/>
          <w:szCs w:val="24"/>
          <w:lang w:eastAsia="fr-FR"/>
        </w:rPr>
        <w:t>My</w:t>
      </w:r>
      <w:proofErr w:type="spellEnd"/>
      <w:r w:rsidRPr="0099346E">
        <w:rPr>
          <w:rFonts w:eastAsia="Times New Roman" w:cs="Times New Roman"/>
          <w:sz w:val="24"/>
          <w:szCs w:val="24"/>
          <w:lang w:eastAsia="fr-FR"/>
        </w:rPr>
        <w:t xml:space="preserve"> Traiteur Bio seront les occupants de ce site en compagnie des maraichers et du service « rivières et milieux naturels » de la CASE qui occupera également une partie du bâtiment. </w:t>
      </w:r>
    </w:p>
    <w:p w:rsidR="0099346E" w:rsidRPr="0099346E" w:rsidRDefault="0099346E" w:rsidP="0099346E">
      <w:pPr>
        <w:spacing w:after="0" w:line="240" w:lineRule="auto"/>
        <w:ind w:right="-50"/>
        <w:jc w:val="both"/>
        <w:rPr>
          <w:rFonts w:eastAsia="Times New Roman" w:cs="Times New Roman"/>
          <w:sz w:val="24"/>
          <w:szCs w:val="24"/>
          <w:lang w:eastAsia="fr-FR"/>
        </w:rPr>
      </w:pPr>
    </w:p>
    <w:p w:rsidR="0099346E" w:rsidRDefault="0099346E" w:rsidP="0099346E">
      <w:pPr>
        <w:spacing w:after="0" w:line="240" w:lineRule="auto"/>
        <w:ind w:right="-50"/>
        <w:jc w:val="both"/>
        <w:rPr>
          <w:rFonts w:eastAsia="Times New Roman" w:cs="Times New Roman"/>
          <w:sz w:val="24"/>
          <w:szCs w:val="24"/>
          <w:lang w:eastAsia="fr-FR"/>
        </w:rPr>
      </w:pPr>
      <w:r w:rsidRPr="0099346E">
        <w:rPr>
          <w:rFonts w:eastAsia="Times New Roman" w:cs="Times New Roman"/>
          <w:sz w:val="24"/>
          <w:szCs w:val="24"/>
          <w:lang w:eastAsia="fr-FR"/>
        </w:rPr>
        <w:t xml:space="preserve">Lors de l’étude faisabilité du projet, seuls le GRAB, IBN, les maraichers des Hauts Prés et le service rivières et milieux naturels de la CASE étaient certains d’intégrer ces locaux. </w:t>
      </w:r>
    </w:p>
    <w:p w:rsidR="00916554" w:rsidRPr="0099346E" w:rsidRDefault="00916554" w:rsidP="0099346E">
      <w:pPr>
        <w:spacing w:after="0" w:line="240" w:lineRule="auto"/>
        <w:ind w:right="-50"/>
        <w:jc w:val="both"/>
        <w:rPr>
          <w:rFonts w:eastAsia="Times New Roman" w:cs="Times New Roman"/>
          <w:sz w:val="24"/>
          <w:szCs w:val="24"/>
          <w:lang w:eastAsia="fr-FR"/>
        </w:rPr>
      </w:pPr>
    </w:p>
    <w:p w:rsidR="0099346E" w:rsidRDefault="0099346E" w:rsidP="0099346E">
      <w:pPr>
        <w:spacing w:after="0" w:line="240" w:lineRule="auto"/>
        <w:ind w:right="-50"/>
        <w:jc w:val="both"/>
        <w:rPr>
          <w:rFonts w:eastAsia="Times New Roman" w:cs="Times New Roman"/>
          <w:sz w:val="24"/>
          <w:szCs w:val="24"/>
          <w:lang w:eastAsia="fr-FR"/>
        </w:rPr>
      </w:pPr>
      <w:r w:rsidRPr="0099346E">
        <w:rPr>
          <w:rFonts w:eastAsia="Times New Roman" w:cs="Times New Roman"/>
          <w:sz w:val="24"/>
          <w:szCs w:val="24"/>
          <w:lang w:eastAsia="fr-FR"/>
        </w:rPr>
        <w:t>Depuis, la démarche de recherche de porteurs de projet s’est montrée fructueuse. TBN avec la mise en place d’une plate-forme logistique de stockage des productions</w:t>
      </w:r>
      <w:r w:rsidR="00916554">
        <w:rPr>
          <w:rFonts w:eastAsia="Times New Roman" w:cs="Times New Roman"/>
          <w:sz w:val="24"/>
          <w:szCs w:val="24"/>
          <w:lang w:eastAsia="fr-FR"/>
        </w:rPr>
        <w:t xml:space="preserve"> biologique de ses adhérents, YSOS avec la mise en place de la première</w:t>
      </w:r>
      <w:r w:rsidRPr="0099346E">
        <w:rPr>
          <w:rFonts w:eastAsia="Times New Roman" w:cs="Times New Roman"/>
          <w:sz w:val="24"/>
          <w:szCs w:val="24"/>
          <w:lang w:eastAsia="fr-FR"/>
        </w:rPr>
        <w:t xml:space="preserve"> légumerie/conserverie bio </w:t>
      </w:r>
      <w:r w:rsidR="00916554">
        <w:rPr>
          <w:rFonts w:eastAsia="Times New Roman" w:cs="Times New Roman"/>
          <w:sz w:val="24"/>
          <w:szCs w:val="24"/>
          <w:lang w:eastAsia="fr-FR"/>
        </w:rPr>
        <w:t xml:space="preserve">de Haute-Normandie </w:t>
      </w:r>
      <w:r w:rsidRPr="0099346E">
        <w:rPr>
          <w:rFonts w:eastAsia="Times New Roman" w:cs="Times New Roman"/>
          <w:sz w:val="24"/>
          <w:szCs w:val="24"/>
          <w:lang w:eastAsia="fr-FR"/>
        </w:rPr>
        <w:t xml:space="preserve">et </w:t>
      </w:r>
      <w:proofErr w:type="spellStart"/>
      <w:r w:rsidRPr="0099346E">
        <w:rPr>
          <w:rFonts w:eastAsia="Times New Roman" w:cs="Times New Roman"/>
          <w:sz w:val="24"/>
          <w:szCs w:val="24"/>
          <w:lang w:eastAsia="fr-FR"/>
        </w:rPr>
        <w:t>My</w:t>
      </w:r>
      <w:proofErr w:type="spellEnd"/>
      <w:r w:rsidRPr="0099346E">
        <w:rPr>
          <w:rFonts w:eastAsia="Times New Roman" w:cs="Times New Roman"/>
          <w:sz w:val="24"/>
          <w:szCs w:val="24"/>
          <w:lang w:eastAsia="fr-FR"/>
        </w:rPr>
        <w:t xml:space="preserve"> Traiteur Bio</w:t>
      </w:r>
      <w:r w:rsidR="00916554">
        <w:rPr>
          <w:rFonts w:eastAsia="Times New Roman" w:cs="Times New Roman"/>
          <w:sz w:val="24"/>
          <w:szCs w:val="24"/>
          <w:lang w:eastAsia="fr-FR"/>
        </w:rPr>
        <w:t>, premier traiteur certifié 100% bio de la Région,</w:t>
      </w:r>
      <w:r w:rsidRPr="0099346E">
        <w:rPr>
          <w:rFonts w:eastAsia="Times New Roman" w:cs="Times New Roman"/>
          <w:sz w:val="24"/>
          <w:szCs w:val="24"/>
          <w:lang w:eastAsia="fr-FR"/>
        </w:rPr>
        <w:t xml:space="preserve"> avec le développement de son activité de traiteur sont venus compléter</w:t>
      </w:r>
      <w:r w:rsidR="00916554">
        <w:rPr>
          <w:rFonts w:eastAsia="Times New Roman" w:cs="Times New Roman"/>
          <w:sz w:val="24"/>
          <w:szCs w:val="24"/>
          <w:lang w:eastAsia="fr-FR"/>
        </w:rPr>
        <w:t xml:space="preserve"> l’offre </w:t>
      </w:r>
      <w:r w:rsidRPr="0099346E">
        <w:rPr>
          <w:rFonts w:eastAsia="Times New Roman" w:cs="Times New Roman"/>
          <w:sz w:val="24"/>
          <w:szCs w:val="24"/>
          <w:lang w:eastAsia="fr-FR"/>
        </w:rPr>
        <w:t xml:space="preserve"> </w:t>
      </w:r>
      <w:r w:rsidR="00E528C3">
        <w:rPr>
          <w:rFonts w:eastAsia="Times New Roman" w:cs="Times New Roman"/>
          <w:sz w:val="24"/>
          <w:szCs w:val="24"/>
          <w:lang w:eastAsia="fr-FR"/>
        </w:rPr>
        <w:t>agro-alimentaire du site.</w:t>
      </w:r>
      <w:r w:rsidR="009E0BC5">
        <w:rPr>
          <w:rFonts w:eastAsia="Times New Roman" w:cs="Times New Roman"/>
          <w:sz w:val="24"/>
          <w:szCs w:val="24"/>
          <w:lang w:eastAsia="fr-FR"/>
        </w:rPr>
        <w:t xml:space="preserve"> L</w:t>
      </w:r>
      <w:r w:rsidR="00E528C3">
        <w:rPr>
          <w:rFonts w:eastAsia="Times New Roman" w:cs="Times New Roman"/>
          <w:sz w:val="24"/>
          <w:szCs w:val="24"/>
          <w:lang w:eastAsia="fr-FR"/>
        </w:rPr>
        <w:t>e site représente désormais un maillon stratégique du développement de la fili</w:t>
      </w:r>
      <w:r w:rsidR="009E0BC5">
        <w:rPr>
          <w:rFonts w:eastAsia="Times New Roman" w:cs="Times New Roman"/>
          <w:sz w:val="24"/>
          <w:szCs w:val="24"/>
          <w:lang w:eastAsia="fr-FR"/>
        </w:rPr>
        <w:t>ère bio ne Haute-Normandie. L</w:t>
      </w:r>
      <w:r w:rsidR="00E528C3">
        <w:rPr>
          <w:rFonts w:eastAsia="Times New Roman" w:cs="Times New Roman"/>
          <w:sz w:val="24"/>
          <w:szCs w:val="24"/>
          <w:lang w:eastAsia="fr-FR"/>
        </w:rPr>
        <w:t>a situation actuelle de la</w:t>
      </w:r>
      <w:r w:rsidR="009E0BC5">
        <w:rPr>
          <w:rFonts w:eastAsia="Times New Roman" w:cs="Times New Roman"/>
          <w:sz w:val="24"/>
          <w:szCs w:val="24"/>
          <w:lang w:eastAsia="fr-FR"/>
        </w:rPr>
        <w:t xml:space="preserve"> région face au développement de la</w:t>
      </w:r>
      <w:r w:rsidR="00E528C3">
        <w:rPr>
          <w:rFonts w:eastAsia="Times New Roman" w:cs="Times New Roman"/>
          <w:sz w:val="24"/>
          <w:szCs w:val="24"/>
          <w:lang w:eastAsia="fr-FR"/>
        </w:rPr>
        <w:t xml:space="preserve"> bio (dernière place dans le classement des Régions de France avec 1% de la SAU en bio),</w:t>
      </w:r>
      <w:r w:rsidR="009E0BC5">
        <w:rPr>
          <w:rFonts w:eastAsia="Times New Roman" w:cs="Times New Roman"/>
          <w:sz w:val="24"/>
          <w:szCs w:val="24"/>
          <w:lang w:eastAsia="fr-FR"/>
        </w:rPr>
        <w:t xml:space="preserve"> fait de l’aménagement du bâtiment des Hauts Prés une étape importante de l’essor de la bio dans notre région.</w:t>
      </w:r>
    </w:p>
    <w:p w:rsidR="0099346E" w:rsidRDefault="0099346E" w:rsidP="0099346E">
      <w:pPr>
        <w:spacing w:after="0" w:line="240" w:lineRule="auto"/>
        <w:ind w:right="-50"/>
        <w:jc w:val="both"/>
        <w:rPr>
          <w:rFonts w:eastAsia="Times New Roman" w:cs="Times New Roman"/>
          <w:sz w:val="24"/>
          <w:szCs w:val="24"/>
          <w:lang w:eastAsia="fr-FR"/>
        </w:rPr>
      </w:pPr>
    </w:p>
    <w:p w:rsidR="0099346E" w:rsidRPr="0099346E" w:rsidRDefault="0099346E" w:rsidP="0099346E">
      <w:pPr>
        <w:spacing w:after="0" w:line="240" w:lineRule="auto"/>
        <w:ind w:right="-50"/>
        <w:jc w:val="both"/>
        <w:rPr>
          <w:rFonts w:eastAsia="Times New Roman" w:cs="Times New Roman"/>
          <w:sz w:val="24"/>
          <w:szCs w:val="24"/>
          <w:lang w:eastAsia="fr-FR"/>
        </w:rPr>
      </w:pPr>
    </w:p>
    <w:p w:rsidR="001C1302" w:rsidRPr="0099346E" w:rsidRDefault="001C1302" w:rsidP="00C548B3">
      <w:pPr>
        <w:pStyle w:val="Paragraphedeliste"/>
        <w:numPr>
          <w:ilvl w:val="0"/>
          <w:numId w:val="3"/>
        </w:numPr>
        <w:spacing w:after="0" w:line="240" w:lineRule="auto"/>
        <w:ind w:right="-50"/>
        <w:jc w:val="both"/>
        <w:rPr>
          <w:rFonts w:eastAsia="Times New Roman" w:cs="Times New Roman"/>
          <w:sz w:val="24"/>
          <w:szCs w:val="24"/>
          <w:lang w:eastAsia="fr-FR"/>
        </w:rPr>
      </w:pPr>
      <w:r w:rsidRPr="0099346E">
        <w:rPr>
          <w:sz w:val="24"/>
          <w:szCs w:val="24"/>
          <w:u w:val="single"/>
        </w:rPr>
        <w:t>Tableau des coûts globaux du projet :</w:t>
      </w:r>
    </w:p>
    <w:p w:rsidR="0099346E" w:rsidRPr="0099346E" w:rsidRDefault="0099346E" w:rsidP="0099346E">
      <w:pPr>
        <w:spacing w:after="0" w:line="240" w:lineRule="auto"/>
        <w:ind w:right="-50"/>
        <w:jc w:val="both"/>
        <w:rPr>
          <w:rFonts w:eastAsia="Times New Roman" w:cs="Times New Roman"/>
          <w:sz w:val="24"/>
          <w:szCs w:val="24"/>
          <w:lang w:eastAsia="fr-FR"/>
        </w:rPr>
      </w:pPr>
    </w:p>
    <w:tbl>
      <w:tblPr>
        <w:tblStyle w:val="Grilledutableau"/>
        <w:tblW w:w="0" w:type="auto"/>
        <w:tblLook w:val="04A0" w:firstRow="1" w:lastRow="0" w:firstColumn="1" w:lastColumn="0" w:noHBand="0" w:noVBand="1"/>
      </w:tblPr>
      <w:tblGrid>
        <w:gridCol w:w="2303"/>
        <w:gridCol w:w="2303"/>
        <w:gridCol w:w="2303"/>
        <w:gridCol w:w="2303"/>
      </w:tblGrid>
      <w:tr w:rsidR="0099346E" w:rsidTr="0099346E">
        <w:tc>
          <w:tcPr>
            <w:tcW w:w="6909" w:type="dxa"/>
            <w:gridSpan w:val="3"/>
          </w:tcPr>
          <w:p w:rsidR="0099346E" w:rsidRPr="00F91CDD" w:rsidRDefault="0099346E" w:rsidP="0099346E">
            <w:pPr>
              <w:jc w:val="center"/>
              <w:rPr>
                <w:sz w:val="18"/>
                <w:szCs w:val="18"/>
              </w:rPr>
            </w:pPr>
            <w:r w:rsidRPr="00F91CDD">
              <w:rPr>
                <w:sz w:val="18"/>
                <w:szCs w:val="18"/>
              </w:rPr>
              <w:t>Dépenses</w:t>
            </w:r>
          </w:p>
        </w:tc>
        <w:tc>
          <w:tcPr>
            <w:tcW w:w="2303" w:type="dxa"/>
          </w:tcPr>
          <w:p w:rsidR="0099346E" w:rsidRPr="00F91CDD" w:rsidRDefault="0099346E" w:rsidP="0099346E">
            <w:pPr>
              <w:jc w:val="center"/>
              <w:rPr>
                <w:sz w:val="18"/>
                <w:szCs w:val="18"/>
              </w:rPr>
            </w:pPr>
            <w:r w:rsidRPr="00F91CDD">
              <w:rPr>
                <w:sz w:val="18"/>
                <w:szCs w:val="18"/>
              </w:rPr>
              <w:t>Subventions</w:t>
            </w:r>
          </w:p>
        </w:tc>
      </w:tr>
      <w:tr w:rsidR="0099346E" w:rsidTr="0099346E">
        <w:tc>
          <w:tcPr>
            <w:tcW w:w="2303" w:type="dxa"/>
            <w:vMerge w:val="restart"/>
            <w:vAlign w:val="center"/>
          </w:tcPr>
          <w:p w:rsidR="0099346E" w:rsidRPr="00F91CDD" w:rsidRDefault="009E0BC5" w:rsidP="0099346E">
            <w:pPr>
              <w:jc w:val="center"/>
              <w:rPr>
                <w:sz w:val="18"/>
                <w:szCs w:val="18"/>
              </w:rPr>
            </w:pPr>
            <w:r>
              <w:rPr>
                <w:sz w:val="18"/>
                <w:szCs w:val="18"/>
              </w:rPr>
              <w:t>Engagé</w:t>
            </w:r>
          </w:p>
        </w:tc>
        <w:tc>
          <w:tcPr>
            <w:tcW w:w="2303" w:type="dxa"/>
          </w:tcPr>
          <w:p w:rsidR="0099346E" w:rsidRPr="00F91CDD" w:rsidRDefault="0099346E" w:rsidP="0099346E">
            <w:pPr>
              <w:jc w:val="both"/>
              <w:rPr>
                <w:sz w:val="18"/>
                <w:szCs w:val="18"/>
              </w:rPr>
            </w:pPr>
            <w:r w:rsidRPr="00F91CDD">
              <w:rPr>
                <w:sz w:val="18"/>
                <w:szCs w:val="18"/>
              </w:rPr>
              <w:t>Achat bâtiment</w:t>
            </w:r>
          </w:p>
        </w:tc>
        <w:tc>
          <w:tcPr>
            <w:tcW w:w="2303" w:type="dxa"/>
            <w:vAlign w:val="center"/>
          </w:tcPr>
          <w:p w:rsidR="0099346E" w:rsidRPr="00F91CDD" w:rsidRDefault="0099346E" w:rsidP="0099346E">
            <w:pPr>
              <w:jc w:val="center"/>
              <w:rPr>
                <w:sz w:val="18"/>
                <w:szCs w:val="18"/>
              </w:rPr>
            </w:pPr>
            <w:r w:rsidRPr="00F91CDD">
              <w:rPr>
                <w:sz w:val="18"/>
                <w:szCs w:val="18"/>
              </w:rPr>
              <w:t>1.550.000 €</w:t>
            </w:r>
          </w:p>
        </w:tc>
        <w:tc>
          <w:tcPr>
            <w:tcW w:w="2303" w:type="dxa"/>
            <w:vMerge w:val="restart"/>
            <w:vAlign w:val="center"/>
          </w:tcPr>
          <w:p w:rsidR="0099346E" w:rsidRPr="00F91CDD" w:rsidRDefault="0099346E" w:rsidP="0099346E">
            <w:pPr>
              <w:jc w:val="center"/>
              <w:rPr>
                <w:sz w:val="18"/>
                <w:szCs w:val="18"/>
              </w:rPr>
            </w:pPr>
            <w:r w:rsidRPr="00F91CDD">
              <w:rPr>
                <w:sz w:val="18"/>
                <w:szCs w:val="18"/>
              </w:rPr>
              <w:t>AESN : 832.800€ Région : 400.000€</w:t>
            </w:r>
          </w:p>
          <w:p w:rsidR="0099346E" w:rsidRPr="00F91CDD" w:rsidRDefault="0099346E" w:rsidP="0099346E">
            <w:pPr>
              <w:jc w:val="center"/>
              <w:rPr>
                <w:sz w:val="18"/>
                <w:szCs w:val="18"/>
              </w:rPr>
            </w:pPr>
            <w:r w:rsidRPr="00F91CDD">
              <w:rPr>
                <w:sz w:val="18"/>
                <w:szCs w:val="18"/>
              </w:rPr>
              <w:t>CG27 : 152.500€</w:t>
            </w:r>
          </w:p>
        </w:tc>
      </w:tr>
      <w:tr w:rsidR="0099346E" w:rsidTr="0099346E">
        <w:tc>
          <w:tcPr>
            <w:tcW w:w="2303" w:type="dxa"/>
            <w:vMerge/>
          </w:tcPr>
          <w:p w:rsidR="0099346E" w:rsidRPr="00F91CDD" w:rsidRDefault="0099346E" w:rsidP="0099346E">
            <w:pPr>
              <w:jc w:val="both"/>
              <w:rPr>
                <w:sz w:val="18"/>
                <w:szCs w:val="18"/>
              </w:rPr>
            </w:pPr>
          </w:p>
        </w:tc>
        <w:tc>
          <w:tcPr>
            <w:tcW w:w="2303" w:type="dxa"/>
          </w:tcPr>
          <w:p w:rsidR="0099346E" w:rsidRPr="00F91CDD" w:rsidRDefault="0099346E" w:rsidP="0099346E">
            <w:pPr>
              <w:jc w:val="both"/>
              <w:rPr>
                <w:sz w:val="18"/>
                <w:szCs w:val="18"/>
              </w:rPr>
            </w:pPr>
            <w:r w:rsidRPr="00F91CDD">
              <w:rPr>
                <w:sz w:val="18"/>
                <w:szCs w:val="18"/>
              </w:rPr>
              <w:t>Aménagement parcellaire, clôture et irrigation</w:t>
            </w:r>
          </w:p>
        </w:tc>
        <w:tc>
          <w:tcPr>
            <w:tcW w:w="2303" w:type="dxa"/>
            <w:vAlign w:val="center"/>
          </w:tcPr>
          <w:p w:rsidR="0099346E" w:rsidRPr="00F91CDD" w:rsidRDefault="0099346E" w:rsidP="0099346E">
            <w:pPr>
              <w:jc w:val="center"/>
              <w:rPr>
                <w:sz w:val="18"/>
                <w:szCs w:val="18"/>
              </w:rPr>
            </w:pPr>
            <w:r w:rsidRPr="00F91CDD">
              <w:rPr>
                <w:sz w:val="18"/>
                <w:szCs w:val="18"/>
              </w:rPr>
              <w:t>298.400 €</w:t>
            </w:r>
          </w:p>
        </w:tc>
        <w:tc>
          <w:tcPr>
            <w:tcW w:w="2303" w:type="dxa"/>
            <w:vMerge/>
            <w:vAlign w:val="center"/>
          </w:tcPr>
          <w:p w:rsidR="0099346E" w:rsidRPr="00F91CDD" w:rsidRDefault="0099346E" w:rsidP="0099346E">
            <w:pPr>
              <w:jc w:val="center"/>
              <w:rPr>
                <w:sz w:val="18"/>
                <w:szCs w:val="18"/>
              </w:rPr>
            </w:pPr>
          </w:p>
        </w:tc>
      </w:tr>
      <w:tr w:rsidR="0099346E" w:rsidTr="0099346E">
        <w:tc>
          <w:tcPr>
            <w:tcW w:w="2303" w:type="dxa"/>
            <w:vMerge/>
          </w:tcPr>
          <w:p w:rsidR="0099346E" w:rsidRPr="00F91CDD" w:rsidRDefault="0099346E" w:rsidP="0099346E">
            <w:pPr>
              <w:jc w:val="both"/>
              <w:rPr>
                <w:sz w:val="18"/>
                <w:szCs w:val="18"/>
              </w:rPr>
            </w:pPr>
          </w:p>
        </w:tc>
        <w:tc>
          <w:tcPr>
            <w:tcW w:w="2303" w:type="dxa"/>
          </w:tcPr>
          <w:p w:rsidR="0099346E" w:rsidRPr="00F91CDD" w:rsidRDefault="0099346E" w:rsidP="0099346E">
            <w:pPr>
              <w:jc w:val="both"/>
              <w:rPr>
                <w:sz w:val="18"/>
                <w:szCs w:val="18"/>
              </w:rPr>
            </w:pPr>
            <w:r w:rsidRPr="00F91CDD">
              <w:rPr>
                <w:sz w:val="18"/>
                <w:szCs w:val="18"/>
              </w:rPr>
              <w:t>Programmation</w:t>
            </w:r>
          </w:p>
        </w:tc>
        <w:tc>
          <w:tcPr>
            <w:tcW w:w="2303" w:type="dxa"/>
            <w:vAlign w:val="center"/>
          </w:tcPr>
          <w:p w:rsidR="0099346E" w:rsidRPr="00F91CDD" w:rsidRDefault="0099346E" w:rsidP="0099346E">
            <w:pPr>
              <w:jc w:val="center"/>
              <w:rPr>
                <w:sz w:val="18"/>
                <w:szCs w:val="18"/>
              </w:rPr>
            </w:pPr>
            <w:r w:rsidRPr="00F91CDD">
              <w:rPr>
                <w:sz w:val="18"/>
                <w:szCs w:val="18"/>
              </w:rPr>
              <w:t>14.730 €</w:t>
            </w:r>
          </w:p>
        </w:tc>
        <w:tc>
          <w:tcPr>
            <w:tcW w:w="2303" w:type="dxa"/>
            <w:vMerge/>
            <w:vAlign w:val="center"/>
          </w:tcPr>
          <w:p w:rsidR="0099346E" w:rsidRPr="00F91CDD" w:rsidRDefault="0099346E" w:rsidP="0099346E">
            <w:pPr>
              <w:jc w:val="center"/>
              <w:rPr>
                <w:sz w:val="18"/>
                <w:szCs w:val="18"/>
              </w:rPr>
            </w:pPr>
          </w:p>
        </w:tc>
      </w:tr>
      <w:tr w:rsidR="0099346E" w:rsidTr="0099346E">
        <w:tc>
          <w:tcPr>
            <w:tcW w:w="2303" w:type="dxa"/>
            <w:vMerge/>
          </w:tcPr>
          <w:p w:rsidR="0099346E" w:rsidRPr="00F91CDD" w:rsidRDefault="0099346E" w:rsidP="0099346E">
            <w:pPr>
              <w:jc w:val="both"/>
              <w:rPr>
                <w:sz w:val="18"/>
                <w:szCs w:val="18"/>
              </w:rPr>
            </w:pPr>
          </w:p>
        </w:tc>
        <w:tc>
          <w:tcPr>
            <w:tcW w:w="2303" w:type="dxa"/>
          </w:tcPr>
          <w:p w:rsidR="0099346E" w:rsidRPr="00F91CDD" w:rsidRDefault="0099346E" w:rsidP="0099346E">
            <w:pPr>
              <w:jc w:val="both"/>
              <w:rPr>
                <w:sz w:val="18"/>
                <w:szCs w:val="18"/>
              </w:rPr>
            </w:pPr>
            <w:r w:rsidRPr="00F91CDD">
              <w:rPr>
                <w:sz w:val="18"/>
                <w:szCs w:val="18"/>
              </w:rPr>
              <w:t>Total déjà engagé</w:t>
            </w:r>
          </w:p>
        </w:tc>
        <w:tc>
          <w:tcPr>
            <w:tcW w:w="2303" w:type="dxa"/>
            <w:vAlign w:val="center"/>
          </w:tcPr>
          <w:p w:rsidR="0099346E" w:rsidRPr="00F91CDD" w:rsidRDefault="0099346E" w:rsidP="0099346E">
            <w:pPr>
              <w:jc w:val="center"/>
              <w:rPr>
                <w:sz w:val="18"/>
                <w:szCs w:val="18"/>
              </w:rPr>
            </w:pPr>
            <w:r w:rsidRPr="00F91CDD">
              <w:rPr>
                <w:sz w:val="18"/>
                <w:szCs w:val="18"/>
              </w:rPr>
              <w:t>1.863.130</w:t>
            </w:r>
          </w:p>
        </w:tc>
        <w:tc>
          <w:tcPr>
            <w:tcW w:w="2303" w:type="dxa"/>
            <w:vAlign w:val="center"/>
          </w:tcPr>
          <w:p w:rsidR="0099346E" w:rsidRPr="00F91CDD" w:rsidRDefault="0099346E" w:rsidP="0099346E">
            <w:pPr>
              <w:jc w:val="center"/>
              <w:rPr>
                <w:sz w:val="18"/>
                <w:szCs w:val="18"/>
              </w:rPr>
            </w:pPr>
            <w:r w:rsidRPr="00F91CDD">
              <w:rPr>
                <w:sz w:val="18"/>
                <w:szCs w:val="18"/>
              </w:rPr>
              <w:t>1.385.300</w:t>
            </w:r>
          </w:p>
        </w:tc>
      </w:tr>
      <w:tr w:rsidR="0099346E" w:rsidTr="0099346E">
        <w:tc>
          <w:tcPr>
            <w:tcW w:w="2303" w:type="dxa"/>
            <w:vMerge w:val="restart"/>
            <w:vAlign w:val="center"/>
          </w:tcPr>
          <w:p w:rsidR="0099346E" w:rsidRPr="00F91CDD" w:rsidRDefault="00E528C3" w:rsidP="0099346E">
            <w:pPr>
              <w:jc w:val="center"/>
              <w:rPr>
                <w:sz w:val="18"/>
                <w:szCs w:val="18"/>
              </w:rPr>
            </w:pPr>
            <w:r>
              <w:rPr>
                <w:sz w:val="18"/>
                <w:szCs w:val="18"/>
              </w:rPr>
              <w:t>En cours et à</w:t>
            </w:r>
            <w:r w:rsidR="0099346E" w:rsidRPr="00F91CDD">
              <w:rPr>
                <w:sz w:val="18"/>
                <w:szCs w:val="18"/>
              </w:rPr>
              <w:t xml:space="preserve"> programmer</w:t>
            </w:r>
          </w:p>
        </w:tc>
        <w:tc>
          <w:tcPr>
            <w:tcW w:w="2303" w:type="dxa"/>
          </w:tcPr>
          <w:p w:rsidR="0099346E" w:rsidRPr="00F91CDD" w:rsidRDefault="0099346E" w:rsidP="0099346E">
            <w:pPr>
              <w:jc w:val="both"/>
              <w:rPr>
                <w:sz w:val="18"/>
                <w:szCs w:val="18"/>
              </w:rPr>
            </w:pPr>
            <w:r w:rsidRPr="00F91CDD">
              <w:rPr>
                <w:sz w:val="18"/>
                <w:szCs w:val="18"/>
              </w:rPr>
              <w:t>Maîtrise d’œuvre</w:t>
            </w:r>
          </w:p>
        </w:tc>
        <w:tc>
          <w:tcPr>
            <w:tcW w:w="2303" w:type="dxa"/>
            <w:vAlign w:val="center"/>
          </w:tcPr>
          <w:p w:rsidR="0099346E" w:rsidRPr="00F91CDD" w:rsidRDefault="0099346E" w:rsidP="0099346E">
            <w:pPr>
              <w:jc w:val="center"/>
              <w:rPr>
                <w:sz w:val="18"/>
                <w:szCs w:val="18"/>
              </w:rPr>
            </w:pPr>
            <w:r w:rsidRPr="00F91CDD">
              <w:rPr>
                <w:sz w:val="18"/>
                <w:szCs w:val="18"/>
              </w:rPr>
              <w:t>150.000</w:t>
            </w:r>
            <w:r>
              <w:rPr>
                <w:sz w:val="18"/>
                <w:szCs w:val="18"/>
              </w:rPr>
              <w:t xml:space="preserve"> </w:t>
            </w:r>
            <w:r w:rsidRPr="00F91CDD">
              <w:rPr>
                <w:sz w:val="18"/>
                <w:szCs w:val="18"/>
              </w:rPr>
              <w:t>€</w:t>
            </w:r>
          </w:p>
        </w:tc>
        <w:tc>
          <w:tcPr>
            <w:tcW w:w="2303" w:type="dxa"/>
            <w:vAlign w:val="center"/>
          </w:tcPr>
          <w:p w:rsidR="0099346E" w:rsidRPr="00F91CDD" w:rsidRDefault="0099346E" w:rsidP="0099346E">
            <w:pPr>
              <w:jc w:val="center"/>
              <w:rPr>
                <w:sz w:val="18"/>
                <w:szCs w:val="18"/>
              </w:rPr>
            </w:pPr>
          </w:p>
        </w:tc>
      </w:tr>
      <w:tr w:rsidR="0099346E" w:rsidTr="0099346E">
        <w:tc>
          <w:tcPr>
            <w:tcW w:w="2303" w:type="dxa"/>
            <w:vMerge/>
          </w:tcPr>
          <w:p w:rsidR="0099346E" w:rsidRPr="00F91CDD" w:rsidRDefault="0099346E" w:rsidP="0099346E">
            <w:pPr>
              <w:jc w:val="both"/>
              <w:rPr>
                <w:sz w:val="18"/>
                <w:szCs w:val="18"/>
              </w:rPr>
            </w:pPr>
          </w:p>
        </w:tc>
        <w:tc>
          <w:tcPr>
            <w:tcW w:w="2303" w:type="dxa"/>
          </w:tcPr>
          <w:p w:rsidR="0099346E" w:rsidRPr="00F91CDD" w:rsidRDefault="0099346E" w:rsidP="0099346E">
            <w:pPr>
              <w:jc w:val="both"/>
              <w:rPr>
                <w:sz w:val="18"/>
                <w:szCs w:val="18"/>
              </w:rPr>
            </w:pPr>
            <w:r w:rsidRPr="00F91CDD">
              <w:rPr>
                <w:sz w:val="18"/>
                <w:szCs w:val="18"/>
              </w:rPr>
              <w:t>Aménagement Bâtiment (prévisionnel)</w:t>
            </w:r>
          </w:p>
        </w:tc>
        <w:tc>
          <w:tcPr>
            <w:tcW w:w="2303" w:type="dxa"/>
            <w:vAlign w:val="center"/>
          </w:tcPr>
          <w:p w:rsidR="0099346E" w:rsidRPr="00F91CDD" w:rsidRDefault="0099346E" w:rsidP="0099346E">
            <w:pPr>
              <w:jc w:val="center"/>
              <w:rPr>
                <w:sz w:val="18"/>
                <w:szCs w:val="18"/>
              </w:rPr>
            </w:pPr>
            <w:r>
              <w:rPr>
                <w:sz w:val="18"/>
                <w:szCs w:val="18"/>
              </w:rPr>
              <w:t>2.085</w:t>
            </w:r>
            <w:r w:rsidRPr="00F91CDD">
              <w:rPr>
                <w:sz w:val="18"/>
                <w:szCs w:val="18"/>
              </w:rPr>
              <w:t>.000</w:t>
            </w:r>
            <w:r w:rsidR="004E1F3B">
              <w:rPr>
                <w:sz w:val="18"/>
                <w:szCs w:val="18"/>
              </w:rPr>
              <w:t xml:space="preserve"> €</w:t>
            </w:r>
          </w:p>
        </w:tc>
        <w:tc>
          <w:tcPr>
            <w:tcW w:w="2303" w:type="dxa"/>
            <w:vAlign w:val="center"/>
          </w:tcPr>
          <w:p w:rsidR="0099346E" w:rsidRPr="00F91CDD" w:rsidRDefault="00653694" w:rsidP="00653694">
            <w:pPr>
              <w:jc w:val="center"/>
              <w:rPr>
                <w:sz w:val="18"/>
                <w:szCs w:val="18"/>
              </w:rPr>
            </w:pPr>
            <w:r>
              <w:rPr>
                <w:sz w:val="18"/>
                <w:szCs w:val="18"/>
              </w:rPr>
              <w:t>En cours de consultation</w:t>
            </w:r>
            <w:r w:rsidR="009E0BC5">
              <w:rPr>
                <w:sz w:val="18"/>
                <w:szCs w:val="18"/>
              </w:rPr>
              <w:t xml:space="preserve"> des financeurs</w:t>
            </w:r>
          </w:p>
        </w:tc>
      </w:tr>
      <w:tr w:rsidR="0099346E" w:rsidTr="0099346E">
        <w:tc>
          <w:tcPr>
            <w:tcW w:w="2303" w:type="dxa"/>
            <w:vMerge/>
          </w:tcPr>
          <w:p w:rsidR="0099346E" w:rsidRPr="00F91CDD" w:rsidRDefault="0099346E" w:rsidP="0099346E">
            <w:pPr>
              <w:jc w:val="both"/>
              <w:rPr>
                <w:sz w:val="18"/>
                <w:szCs w:val="18"/>
              </w:rPr>
            </w:pPr>
          </w:p>
        </w:tc>
        <w:tc>
          <w:tcPr>
            <w:tcW w:w="2303" w:type="dxa"/>
          </w:tcPr>
          <w:p w:rsidR="0099346E" w:rsidRPr="00F91CDD" w:rsidRDefault="0099346E" w:rsidP="0099346E">
            <w:pPr>
              <w:jc w:val="both"/>
              <w:rPr>
                <w:sz w:val="18"/>
                <w:szCs w:val="18"/>
              </w:rPr>
            </w:pPr>
            <w:r w:rsidRPr="00F91CDD">
              <w:rPr>
                <w:sz w:val="18"/>
                <w:szCs w:val="18"/>
              </w:rPr>
              <w:t>Reste à engager</w:t>
            </w:r>
          </w:p>
        </w:tc>
        <w:tc>
          <w:tcPr>
            <w:tcW w:w="2303" w:type="dxa"/>
            <w:vAlign w:val="center"/>
          </w:tcPr>
          <w:p w:rsidR="0099346E" w:rsidRPr="00F91CDD" w:rsidRDefault="0099346E" w:rsidP="00E528C3">
            <w:pPr>
              <w:jc w:val="center"/>
              <w:rPr>
                <w:sz w:val="18"/>
                <w:szCs w:val="18"/>
              </w:rPr>
            </w:pPr>
            <w:r>
              <w:rPr>
                <w:sz w:val="18"/>
                <w:szCs w:val="18"/>
              </w:rPr>
              <w:t>2.</w:t>
            </w:r>
            <w:r w:rsidR="00E528C3">
              <w:rPr>
                <w:sz w:val="18"/>
                <w:szCs w:val="18"/>
              </w:rPr>
              <w:t>085.000</w:t>
            </w:r>
            <w:r w:rsidR="004E1F3B">
              <w:rPr>
                <w:sz w:val="18"/>
                <w:szCs w:val="18"/>
              </w:rPr>
              <w:t xml:space="preserve"> €</w:t>
            </w:r>
          </w:p>
        </w:tc>
        <w:tc>
          <w:tcPr>
            <w:tcW w:w="2303" w:type="dxa"/>
            <w:vAlign w:val="center"/>
          </w:tcPr>
          <w:p w:rsidR="0099346E" w:rsidRPr="00F91CDD" w:rsidRDefault="0099346E" w:rsidP="0099346E">
            <w:pPr>
              <w:jc w:val="center"/>
              <w:rPr>
                <w:sz w:val="18"/>
                <w:szCs w:val="18"/>
              </w:rPr>
            </w:pPr>
          </w:p>
        </w:tc>
      </w:tr>
      <w:tr w:rsidR="0099346E" w:rsidTr="0099346E">
        <w:tc>
          <w:tcPr>
            <w:tcW w:w="2303" w:type="dxa"/>
          </w:tcPr>
          <w:p w:rsidR="0099346E" w:rsidRPr="00F91CDD" w:rsidRDefault="0099346E" w:rsidP="0099346E">
            <w:pPr>
              <w:jc w:val="both"/>
              <w:rPr>
                <w:sz w:val="18"/>
                <w:szCs w:val="18"/>
              </w:rPr>
            </w:pPr>
          </w:p>
        </w:tc>
        <w:tc>
          <w:tcPr>
            <w:tcW w:w="2303" w:type="dxa"/>
          </w:tcPr>
          <w:p w:rsidR="0099346E" w:rsidRPr="00F91CDD" w:rsidRDefault="0099346E" w:rsidP="00653694">
            <w:pPr>
              <w:jc w:val="both"/>
              <w:rPr>
                <w:sz w:val="18"/>
                <w:szCs w:val="18"/>
              </w:rPr>
            </w:pPr>
            <w:r w:rsidRPr="00F91CDD">
              <w:rPr>
                <w:sz w:val="18"/>
                <w:szCs w:val="18"/>
              </w:rPr>
              <w:t>Total de l’opération</w:t>
            </w:r>
          </w:p>
        </w:tc>
        <w:tc>
          <w:tcPr>
            <w:tcW w:w="2303" w:type="dxa"/>
            <w:vAlign w:val="center"/>
          </w:tcPr>
          <w:p w:rsidR="0099346E" w:rsidRPr="00F91CDD" w:rsidRDefault="0099346E" w:rsidP="0099346E">
            <w:pPr>
              <w:jc w:val="center"/>
              <w:rPr>
                <w:sz w:val="18"/>
                <w:szCs w:val="18"/>
              </w:rPr>
            </w:pPr>
            <w:r>
              <w:rPr>
                <w:sz w:val="18"/>
                <w:szCs w:val="18"/>
              </w:rPr>
              <w:t>4.098</w:t>
            </w:r>
            <w:r w:rsidRPr="00F91CDD">
              <w:rPr>
                <w:sz w:val="18"/>
                <w:szCs w:val="18"/>
              </w:rPr>
              <w:t>.130</w:t>
            </w:r>
            <w:r w:rsidR="004E1F3B">
              <w:rPr>
                <w:sz w:val="18"/>
                <w:szCs w:val="18"/>
              </w:rPr>
              <w:t xml:space="preserve"> €</w:t>
            </w:r>
          </w:p>
        </w:tc>
        <w:tc>
          <w:tcPr>
            <w:tcW w:w="2303" w:type="dxa"/>
            <w:vAlign w:val="center"/>
          </w:tcPr>
          <w:p w:rsidR="0099346E" w:rsidRPr="00F91CDD" w:rsidRDefault="0099346E" w:rsidP="0099346E">
            <w:pPr>
              <w:jc w:val="center"/>
              <w:rPr>
                <w:sz w:val="18"/>
                <w:szCs w:val="18"/>
              </w:rPr>
            </w:pPr>
          </w:p>
        </w:tc>
      </w:tr>
    </w:tbl>
    <w:p w:rsidR="0099346E" w:rsidRDefault="0099346E" w:rsidP="0099346E">
      <w:pPr>
        <w:spacing w:after="0" w:line="240" w:lineRule="auto"/>
        <w:ind w:right="-50"/>
        <w:jc w:val="both"/>
        <w:rPr>
          <w:rFonts w:eastAsia="Times New Roman" w:cs="Times New Roman"/>
          <w:sz w:val="24"/>
          <w:szCs w:val="24"/>
          <w:lang w:eastAsia="fr-FR"/>
        </w:rPr>
      </w:pPr>
    </w:p>
    <w:p w:rsidR="00200E44" w:rsidRDefault="00E528C3" w:rsidP="00E528C3">
      <w:pPr>
        <w:jc w:val="both"/>
        <w:rPr>
          <w:sz w:val="24"/>
          <w:szCs w:val="24"/>
        </w:rPr>
      </w:pPr>
      <w:r>
        <w:rPr>
          <w:sz w:val="24"/>
          <w:szCs w:val="24"/>
        </w:rPr>
        <w:t>Pour cette dernière phase d’aménagement, le montant des trav</w:t>
      </w:r>
      <w:r w:rsidR="00200E44">
        <w:rPr>
          <w:sz w:val="24"/>
          <w:szCs w:val="24"/>
        </w:rPr>
        <w:t>aux est estimé à 2.085.000 € HT. L’aménagement relatif au service rivières et milieux naturels est d’un montant de 355.000€</w:t>
      </w:r>
      <w:r w:rsidR="004E1F3B">
        <w:rPr>
          <w:sz w:val="24"/>
          <w:szCs w:val="24"/>
        </w:rPr>
        <w:t xml:space="preserve"> HT</w:t>
      </w:r>
      <w:r w:rsidR="00200E44">
        <w:rPr>
          <w:sz w:val="24"/>
          <w:szCs w:val="24"/>
        </w:rPr>
        <w:t xml:space="preserve"> compris dans l’</w:t>
      </w:r>
      <w:r w:rsidR="00653694">
        <w:rPr>
          <w:sz w:val="24"/>
          <w:szCs w:val="24"/>
        </w:rPr>
        <w:t>enveloppe globale des 2.085.000 €</w:t>
      </w:r>
      <w:r w:rsidR="004E1F3B">
        <w:rPr>
          <w:sz w:val="24"/>
          <w:szCs w:val="24"/>
        </w:rPr>
        <w:t xml:space="preserve"> HT</w:t>
      </w:r>
      <w:r w:rsidR="00653694">
        <w:rPr>
          <w:sz w:val="24"/>
          <w:szCs w:val="24"/>
        </w:rPr>
        <w:t>.</w:t>
      </w:r>
    </w:p>
    <w:p w:rsidR="00E528C3" w:rsidRPr="00E528C3" w:rsidRDefault="00200E44" w:rsidP="00E528C3">
      <w:pPr>
        <w:jc w:val="both"/>
        <w:rPr>
          <w:sz w:val="24"/>
          <w:szCs w:val="24"/>
        </w:rPr>
      </w:pPr>
      <w:r>
        <w:rPr>
          <w:sz w:val="24"/>
          <w:szCs w:val="24"/>
        </w:rPr>
        <w:t>L</w:t>
      </w:r>
      <w:r w:rsidR="00E528C3">
        <w:rPr>
          <w:sz w:val="24"/>
          <w:szCs w:val="24"/>
        </w:rPr>
        <w:t xml:space="preserve">’agglomération sollicite </w:t>
      </w:r>
      <w:r w:rsidR="00653694">
        <w:rPr>
          <w:sz w:val="24"/>
          <w:szCs w:val="24"/>
        </w:rPr>
        <w:t xml:space="preserve">donc </w:t>
      </w:r>
      <w:r w:rsidR="00E528C3">
        <w:rPr>
          <w:sz w:val="24"/>
          <w:szCs w:val="24"/>
        </w:rPr>
        <w:t>une subvention d’investissement de la part de l’Agence de l’Eau Seine</w:t>
      </w:r>
      <w:r w:rsidR="004E1F3B">
        <w:rPr>
          <w:sz w:val="24"/>
          <w:szCs w:val="24"/>
        </w:rPr>
        <w:t xml:space="preserve"> Normandie à hauteur de 400.000</w:t>
      </w:r>
      <w:r w:rsidR="00FF1BC5">
        <w:rPr>
          <w:sz w:val="24"/>
          <w:szCs w:val="24"/>
          <w:vertAlign w:val="superscript"/>
        </w:rPr>
        <w:t xml:space="preserve"> </w:t>
      </w:r>
      <w:r w:rsidR="00FF1BC5">
        <w:rPr>
          <w:sz w:val="24"/>
          <w:szCs w:val="24"/>
        </w:rPr>
        <w:t>€</w:t>
      </w:r>
      <w:r w:rsidR="004E1F3B">
        <w:rPr>
          <w:sz w:val="24"/>
          <w:szCs w:val="24"/>
        </w:rPr>
        <w:t xml:space="preserve"> HT soit 19.2</w:t>
      </w:r>
      <w:r w:rsidR="00653694">
        <w:rPr>
          <w:sz w:val="24"/>
          <w:szCs w:val="24"/>
        </w:rPr>
        <w:t>%.</w:t>
      </w:r>
      <w:r w:rsidR="00E528C3">
        <w:rPr>
          <w:sz w:val="24"/>
          <w:szCs w:val="24"/>
        </w:rPr>
        <w:t xml:space="preserve"> Les </w:t>
      </w:r>
      <w:r w:rsidR="00E528C3" w:rsidRPr="00E25EC6">
        <w:rPr>
          <w:sz w:val="24"/>
          <w:szCs w:val="24"/>
        </w:rPr>
        <w:t>aménagement</w:t>
      </w:r>
      <w:r w:rsidR="00E528C3">
        <w:rPr>
          <w:sz w:val="24"/>
          <w:szCs w:val="24"/>
        </w:rPr>
        <w:t>s</w:t>
      </w:r>
      <w:r w:rsidR="00E528C3" w:rsidRPr="00E25EC6">
        <w:rPr>
          <w:sz w:val="24"/>
          <w:szCs w:val="24"/>
        </w:rPr>
        <w:t>, tels que prése</w:t>
      </w:r>
      <w:r w:rsidR="00E528C3">
        <w:rPr>
          <w:sz w:val="24"/>
          <w:szCs w:val="24"/>
        </w:rPr>
        <w:t xml:space="preserve">ntés sur le plan </w:t>
      </w:r>
      <w:r w:rsidR="00653694">
        <w:rPr>
          <w:sz w:val="24"/>
          <w:szCs w:val="24"/>
        </w:rPr>
        <w:t xml:space="preserve">du bâtiment </w:t>
      </w:r>
      <w:r w:rsidR="00E528C3">
        <w:rPr>
          <w:sz w:val="24"/>
          <w:szCs w:val="24"/>
        </w:rPr>
        <w:t>joint, permettro</w:t>
      </w:r>
      <w:r w:rsidR="00E528C3" w:rsidRPr="00E25EC6">
        <w:rPr>
          <w:sz w:val="24"/>
          <w:szCs w:val="24"/>
        </w:rPr>
        <w:t>nt une installation dans les meilleurs</w:t>
      </w:r>
      <w:r w:rsidR="00E528C3">
        <w:rPr>
          <w:sz w:val="24"/>
          <w:szCs w:val="24"/>
        </w:rPr>
        <w:t xml:space="preserve"> conditions pour chacun des</w:t>
      </w:r>
      <w:r w:rsidR="00E528C3" w:rsidRPr="00E25EC6">
        <w:rPr>
          <w:sz w:val="24"/>
          <w:szCs w:val="24"/>
        </w:rPr>
        <w:t xml:space="preserve"> partenaires.</w:t>
      </w:r>
    </w:p>
    <w:p w:rsidR="0099346E" w:rsidRDefault="0099346E" w:rsidP="0099346E">
      <w:pPr>
        <w:spacing w:after="0" w:line="240" w:lineRule="auto"/>
        <w:ind w:right="-50"/>
        <w:jc w:val="both"/>
        <w:rPr>
          <w:rFonts w:eastAsia="Times New Roman" w:cs="Times New Roman"/>
          <w:sz w:val="24"/>
          <w:szCs w:val="24"/>
          <w:lang w:eastAsia="fr-FR"/>
        </w:rPr>
      </w:pPr>
    </w:p>
    <w:p w:rsidR="004E1F3B" w:rsidRDefault="004E1F3B" w:rsidP="0099346E">
      <w:pPr>
        <w:spacing w:after="0" w:line="240" w:lineRule="auto"/>
        <w:ind w:right="-50"/>
        <w:jc w:val="both"/>
        <w:rPr>
          <w:rFonts w:eastAsia="Times New Roman" w:cs="Times New Roman"/>
          <w:sz w:val="24"/>
          <w:szCs w:val="24"/>
          <w:lang w:eastAsia="fr-FR"/>
        </w:rPr>
      </w:pPr>
    </w:p>
    <w:p w:rsidR="004E1F3B" w:rsidRPr="0099346E" w:rsidRDefault="004E1F3B" w:rsidP="0099346E">
      <w:pPr>
        <w:spacing w:after="0" w:line="240" w:lineRule="auto"/>
        <w:ind w:right="-50"/>
        <w:jc w:val="both"/>
        <w:rPr>
          <w:rFonts w:eastAsia="Times New Roman" w:cs="Times New Roman"/>
          <w:sz w:val="24"/>
          <w:szCs w:val="24"/>
          <w:lang w:eastAsia="fr-FR"/>
        </w:rPr>
      </w:pPr>
      <w:bookmarkStart w:id="0" w:name="_GoBack"/>
      <w:bookmarkEnd w:id="0"/>
    </w:p>
    <w:p w:rsidR="0099346E" w:rsidRDefault="00E528C3" w:rsidP="00C548B3">
      <w:pPr>
        <w:pStyle w:val="Paragraphedeliste"/>
        <w:numPr>
          <w:ilvl w:val="0"/>
          <w:numId w:val="3"/>
        </w:numPr>
        <w:spacing w:after="0" w:line="240" w:lineRule="auto"/>
        <w:ind w:right="-50"/>
        <w:jc w:val="both"/>
        <w:rPr>
          <w:rFonts w:eastAsia="Times New Roman" w:cs="Times New Roman"/>
          <w:sz w:val="24"/>
          <w:szCs w:val="24"/>
          <w:u w:val="single"/>
          <w:lang w:eastAsia="fr-FR"/>
        </w:rPr>
      </w:pPr>
      <w:r w:rsidRPr="00E528C3">
        <w:rPr>
          <w:rFonts w:eastAsia="Times New Roman" w:cs="Times New Roman"/>
          <w:sz w:val="24"/>
          <w:szCs w:val="24"/>
          <w:u w:val="single"/>
          <w:lang w:eastAsia="fr-FR"/>
        </w:rPr>
        <w:lastRenderedPageBreak/>
        <w:t>Impact socio-économique du projet</w:t>
      </w:r>
    </w:p>
    <w:p w:rsidR="00E23E93" w:rsidRDefault="00E23E93" w:rsidP="00E23E93">
      <w:pPr>
        <w:spacing w:after="0" w:line="240" w:lineRule="auto"/>
        <w:ind w:right="-50"/>
        <w:jc w:val="both"/>
        <w:rPr>
          <w:rFonts w:eastAsia="Times New Roman" w:cs="Times New Roman"/>
          <w:sz w:val="24"/>
          <w:szCs w:val="24"/>
          <w:u w:val="single"/>
          <w:lang w:eastAsia="fr-FR"/>
        </w:rPr>
      </w:pPr>
    </w:p>
    <w:p w:rsidR="00E23E93" w:rsidRDefault="00E23E93" w:rsidP="00E23E93">
      <w:pPr>
        <w:jc w:val="both"/>
        <w:rPr>
          <w:sz w:val="24"/>
          <w:szCs w:val="24"/>
        </w:rPr>
      </w:pPr>
      <w:r w:rsidRPr="00C64DB3">
        <w:rPr>
          <w:sz w:val="24"/>
          <w:szCs w:val="24"/>
        </w:rPr>
        <w:t>Aujourd’h</w:t>
      </w:r>
      <w:r w:rsidR="009E0BC5">
        <w:rPr>
          <w:sz w:val="24"/>
          <w:szCs w:val="24"/>
        </w:rPr>
        <w:t>ui 5</w:t>
      </w:r>
      <w:r w:rsidRPr="00C64DB3">
        <w:rPr>
          <w:sz w:val="24"/>
          <w:szCs w:val="24"/>
        </w:rPr>
        <w:t xml:space="preserve"> </w:t>
      </w:r>
      <w:r>
        <w:rPr>
          <w:sz w:val="24"/>
          <w:szCs w:val="24"/>
        </w:rPr>
        <w:t>entreprises maraichères, 1 apiculteur</w:t>
      </w:r>
      <w:r w:rsidRPr="00C64DB3">
        <w:rPr>
          <w:sz w:val="24"/>
          <w:szCs w:val="24"/>
        </w:rPr>
        <w:t xml:space="preserve"> et 4 céréaliers travail</w:t>
      </w:r>
      <w:r>
        <w:rPr>
          <w:sz w:val="24"/>
          <w:szCs w:val="24"/>
        </w:rPr>
        <w:t>lent les 110 hectares du PPR</w:t>
      </w:r>
      <w:r w:rsidRPr="00C64DB3">
        <w:rPr>
          <w:sz w:val="24"/>
          <w:szCs w:val="24"/>
        </w:rPr>
        <w:t xml:space="preserve"> </w:t>
      </w:r>
      <w:r>
        <w:rPr>
          <w:sz w:val="24"/>
          <w:szCs w:val="24"/>
        </w:rPr>
        <w:t xml:space="preserve">en respectant le </w:t>
      </w:r>
      <w:r w:rsidRPr="00C64DB3">
        <w:rPr>
          <w:sz w:val="24"/>
          <w:szCs w:val="24"/>
        </w:rPr>
        <w:t>cahier des charges de l’agriculture biologique.</w:t>
      </w:r>
      <w:r>
        <w:rPr>
          <w:sz w:val="24"/>
          <w:szCs w:val="24"/>
        </w:rPr>
        <w:t xml:space="preserve"> Les maraichers se sont constitués en association, nommée les « Maraichers Bio des Hauts Prés », afin de mutualiser leur travail et de faciliter la commercialisation de leurs productions.</w:t>
      </w:r>
    </w:p>
    <w:p w:rsidR="00E23E93" w:rsidRDefault="00E23E93" w:rsidP="00E23E93">
      <w:pPr>
        <w:jc w:val="both"/>
        <w:rPr>
          <w:sz w:val="24"/>
          <w:szCs w:val="24"/>
        </w:rPr>
      </w:pPr>
      <w:r>
        <w:rPr>
          <w:sz w:val="24"/>
          <w:szCs w:val="24"/>
        </w:rPr>
        <w:t>Cette opération a déjà permis la création de 8 emplois et de maintenir une agriculture céréalière de proximité. A terme un total de 48 emplois, employés CASE exclus, sera sur place avec des perspectives d’accroissement liées à la surface encore disponible (1950m²). Ces emplois font une bonne place à l’économie sociale et solidaire. Aussi, presque un tiers des emplois crées le sera pour un public durablement éloigné de l’emploi tout en assurant une égalité des chances hommes/femmes.</w:t>
      </w:r>
    </w:p>
    <w:p w:rsidR="00E23E93" w:rsidRPr="000742B5" w:rsidRDefault="00E23E93" w:rsidP="00E23E93">
      <w:pPr>
        <w:jc w:val="both"/>
        <w:rPr>
          <w:sz w:val="24"/>
          <w:szCs w:val="24"/>
          <w:u w:val="single"/>
        </w:rPr>
      </w:pPr>
      <w:r w:rsidRPr="000742B5">
        <w:rPr>
          <w:sz w:val="24"/>
          <w:szCs w:val="24"/>
          <w:u w:val="single"/>
        </w:rPr>
        <w:t xml:space="preserve">Tableau prévisionnel des emplois : </w:t>
      </w:r>
    </w:p>
    <w:tbl>
      <w:tblPr>
        <w:tblStyle w:val="Grilledutableau"/>
        <w:tblW w:w="0" w:type="auto"/>
        <w:tblLook w:val="04A0" w:firstRow="1" w:lastRow="0" w:firstColumn="1" w:lastColumn="0" w:noHBand="0" w:noVBand="1"/>
      </w:tblPr>
      <w:tblGrid>
        <w:gridCol w:w="1999"/>
        <w:gridCol w:w="1998"/>
        <w:gridCol w:w="2129"/>
        <w:gridCol w:w="1748"/>
        <w:gridCol w:w="1414"/>
      </w:tblGrid>
      <w:tr w:rsidR="00E23E93" w:rsidTr="00610FAC">
        <w:tc>
          <w:tcPr>
            <w:tcW w:w="1999" w:type="dxa"/>
            <w:vAlign w:val="center"/>
          </w:tcPr>
          <w:p w:rsidR="00E23E93" w:rsidRPr="00F91CDD" w:rsidRDefault="00E23E93" w:rsidP="00610FAC">
            <w:pPr>
              <w:jc w:val="center"/>
              <w:rPr>
                <w:sz w:val="18"/>
                <w:szCs w:val="18"/>
              </w:rPr>
            </w:pPr>
            <w:r w:rsidRPr="00F91CDD">
              <w:rPr>
                <w:sz w:val="18"/>
                <w:szCs w:val="18"/>
              </w:rPr>
              <w:t>Structure</w:t>
            </w:r>
          </w:p>
        </w:tc>
        <w:tc>
          <w:tcPr>
            <w:tcW w:w="1998" w:type="dxa"/>
            <w:vAlign w:val="center"/>
          </w:tcPr>
          <w:p w:rsidR="00E23E93" w:rsidRPr="00F91CDD" w:rsidRDefault="00E23E93" w:rsidP="00610FAC">
            <w:pPr>
              <w:jc w:val="center"/>
              <w:rPr>
                <w:sz w:val="18"/>
                <w:szCs w:val="18"/>
              </w:rPr>
            </w:pPr>
            <w:r w:rsidRPr="00F91CDD">
              <w:rPr>
                <w:sz w:val="18"/>
                <w:szCs w:val="18"/>
              </w:rPr>
              <w:t>Personnel actuel (en place et relocalisation)</w:t>
            </w:r>
          </w:p>
        </w:tc>
        <w:tc>
          <w:tcPr>
            <w:tcW w:w="2129" w:type="dxa"/>
            <w:vAlign w:val="center"/>
          </w:tcPr>
          <w:p w:rsidR="00E23E93" w:rsidRPr="00F91CDD" w:rsidRDefault="00E23E93" w:rsidP="00610FAC">
            <w:pPr>
              <w:jc w:val="center"/>
              <w:rPr>
                <w:sz w:val="18"/>
                <w:szCs w:val="18"/>
              </w:rPr>
            </w:pPr>
            <w:r w:rsidRPr="00F91CDD">
              <w:rPr>
                <w:sz w:val="18"/>
                <w:szCs w:val="18"/>
              </w:rPr>
              <w:t>Création directe suite à l’aménagement du bâtiment</w:t>
            </w:r>
          </w:p>
        </w:tc>
        <w:tc>
          <w:tcPr>
            <w:tcW w:w="1748" w:type="dxa"/>
            <w:vAlign w:val="center"/>
          </w:tcPr>
          <w:p w:rsidR="00E23E93" w:rsidRPr="00F91CDD" w:rsidRDefault="00E23E93" w:rsidP="00610FAC">
            <w:pPr>
              <w:jc w:val="center"/>
              <w:rPr>
                <w:sz w:val="18"/>
                <w:szCs w:val="18"/>
              </w:rPr>
            </w:pPr>
            <w:r w:rsidRPr="00F91CDD">
              <w:rPr>
                <w:sz w:val="18"/>
                <w:szCs w:val="18"/>
              </w:rPr>
              <w:t>Embauches programmées à n+1 ou n+2</w:t>
            </w:r>
          </w:p>
        </w:tc>
        <w:tc>
          <w:tcPr>
            <w:tcW w:w="1414" w:type="dxa"/>
          </w:tcPr>
          <w:p w:rsidR="00E23E93" w:rsidRPr="00F91CDD" w:rsidRDefault="00E23E93" w:rsidP="00610FAC">
            <w:pPr>
              <w:jc w:val="center"/>
              <w:rPr>
                <w:sz w:val="18"/>
                <w:szCs w:val="18"/>
              </w:rPr>
            </w:pPr>
            <w:r>
              <w:rPr>
                <w:sz w:val="18"/>
                <w:szCs w:val="18"/>
              </w:rPr>
              <w:t>Surface occupée dans le bâtiment (en m²)</w:t>
            </w:r>
          </w:p>
        </w:tc>
      </w:tr>
      <w:tr w:rsidR="00E23E93" w:rsidTr="00610FAC">
        <w:tc>
          <w:tcPr>
            <w:tcW w:w="1999" w:type="dxa"/>
            <w:vAlign w:val="center"/>
          </w:tcPr>
          <w:p w:rsidR="00E23E93" w:rsidRPr="00F91CDD" w:rsidRDefault="00E23E93" w:rsidP="00610FAC">
            <w:pPr>
              <w:jc w:val="center"/>
              <w:rPr>
                <w:sz w:val="18"/>
                <w:szCs w:val="18"/>
              </w:rPr>
            </w:pPr>
            <w:r w:rsidRPr="00F91CDD">
              <w:rPr>
                <w:sz w:val="18"/>
                <w:szCs w:val="18"/>
              </w:rPr>
              <w:t>Céréaliers</w:t>
            </w:r>
          </w:p>
        </w:tc>
        <w:tc>
          <w:tcPr>
            <w:tcW w:w="1998" w:type="dxa"/>
            <w:vAlign w:val="center"/>
          </w:tcPr>
          <w:p w:rsidR="00E23E93" w:rsidRPr="00F91CDD" w:rsidRDefault="00E23E93" w:rsidP="00610FAC">
            <w:pPr>
              <w:jc w:val="center"/>
              <w:rPr>
                <w:sz w:val="18"/>
                <w:szCs w:val="18"/>
              </w:rPr>
            </w:pPr>
            <w:r w:rsidRPr="00F91CDD">
              <w:rPr>
                <w:sz w:val="18"/>
                <w:szCs w:val="18"/>
              </w:rPr>
              <w:t>4</w:t>
            </w:r>
          </w:p>
        </w:tc>
        <w:tc>
          <w:tcPr>
            <w:tcW w:w="2129" w:type="dxa"/>
            <w:vAlign w:val="center"/>
          </w:tcPr>
          <w:p w:rsidR="00E23E93" w:rsidRPr="00F91CDD" w:rsidRDefault="00E23E93" w:rsidP="00610FAC">
            <w:pPr>
              <w:jc w:val="center"/>
              <w:rPr>
                <w:sz w:val="18"/>
                <w:szCs w:val="18"/>
              </w:rPr>
            </w:pPr>
            <w:r w:rsidRPr="00F91CDD">
              <w:rPr>
                <w:sz w:val="18"/>
                <w:szCs w:val="18"/>
              </w:rPr>
              <w:t>0</w:t>
            </w:r>
          </w:p>
        </w:tc>
        <w:tc>
          <w:tcPr>
            <w:tcW w:w="1748" w:type="dxa"/>
            <w:vAlign w:val="center"/>
          </w:tcPr>
          <w:p w:rsidR="00E23E93" w:rsidRPr="00F91CDD" w:rsidRDefault="00E23E93" w:rsidP="00610FAC">
            <w:pPr>
              <w:jc w:val="center"/>
              <w:rPr>
                <w:sz w:val="18"/>
                <w:szCs w:val="18"/>
              </w:rPr>
            </w:pPr>
            <w:r w:rsidRPr="00F91CDD">
              <w:rPr>
                <w:sz w:val="18"/>
                <w:szCs w:val="18"/>
              </w:rPr>
              <w:t>0</w:t>
            </w:r>
          </w:p>
        </w:tc>
        <w:tc>
          <w:tcPr>
            <w:tcW w:w="1414" w:type="dxa"/>
          </w:tcPr>
          <w:p w:rsidR="00E23E93" w:rsidRPr="00F91CDD" w:rsidRDefault="00E23E93" w:rsidP="00610FAC">
            <w:pPr>
              <w:jc w:val="center"/>
              <w:rPr>
                <w:sz w:val="18"/>
                <w:szCs w:val="18"/>
              </w:rPr>
            </w:pPr>
            <w:r>
              <w:rPr>
                <w:sz w:val="18"/>
                <w:szCs w:val="18"/>
              </w:rPr>
              <w:t>0</w:t>
            </w:r>
          </w:p>
        </w:tc>
      </w:tr>
      <w:tr w:rsidR="00E23E93" w:rsidTr="00610FAC">
        <w:tc>
          <w:tcPr>
            <w:tcW w:w="1999" w:type="dxa"/>
            <w:vAlign w:val="center"/>
          </w:tcPr>
          <w:p w:rsidR="00E23E93" w:rsidRPr="00F91CDD" w:rsidRDefault="00E23E93" w:rsidP="00610FAC">
            <w:pPr>
              <w:jc w:val="center"/>
              <w:rPr>
                <w:sz w:val="18"/>
                <w:szCs w:val="18"/>
              </w:rPr>
            </w:pPr>
            <w:r w:rsidRPr="00F91CDD">
              <w:rPr>
                <w:sz w:val="18"/>
                <w:szCs w:val="18"/>
              </w:rPr>
              <w:t>Maraichers</w:t>
            </w:r>
          </w:p>
        </w:tc>
        <w:tc>
          <w:tcPr>
            <w:tcW w:w="1998" w:type="dxa"/>
            <w:vAlign w:val="center"/>
          </w:tcPr>
          <w:p w:rsidR="00E23E93" w:rsidRPr="00F91CDD" w:rsidRDefault="00E23E93" w:rsidP="00610FAC">
            <w:pPr>
              <w:jc w:val="center"/>
              <w:rPr>
                <w:sz w:val="18"/>
                <w:szCs w:val="18"/>
              </w:rPr>
            </w:pPr>
            <w:r w:rsidRPr="00F91CDD">
              <w:rPr>
                <w:sz w:val="18"/>
                <w:szCs w:val="18"/>
              </w:rPr>
              <w:t>8 (dont 4 ESS)</w:t>
            </w:r>
          </w:p>
        </w:tc>
        <w:tc>
          <w:tcPr>
            <w:tcW w:w="2129" w:type="dxa"/>
            <w:vAlign w:val="center"/>
          </w:tcPr>
          <w:p w:rsidR="00E23E93" w:rsidRPr="00F91CDD" w:rsidRDefault="00E23E93" w:rsidP="00610FAC">
            <w:pPr>
              <w:jc w:val="center"/>
              <w:rPr>
                <w:sz w:val="18"/>
                <w:szCs w:val="18"/>
              </w:rPr>
            </w:pPr>
            <w:r w:rsidRPr="00F91CDD">
              <w:rPr>
                <w:sz w:val="18"/>
                <w:szCs w:val="18"/>
              </w:rPr>
              <w:t>0</w:t>
            </w:r>
          </w:p>
        </w:tc>
        <w:tc>
          <w:tcPr>
            <w:tcW w:w="1748" w:type="dxa"/>
            <w:vAlign w:val="center"/>
          </w:tcPr>
          <w:p w:rsidR="00E23E93" w:rsidRPr="00F91CDD" w:rsidRDefault="00E23E93" w:rsidP="00610FAC">
            <w:pPr>
              <w:jc w:val="center"/>
              <w:rPr>
                <w:sz w:val="18"/>
                <w:szCs w:val="18"/>
              </w:rPr>
            </w:pPr>
            <w:r w:rsidRPr="00F91CDD">
              <w:rPr>
                <w:sz w:val="18"/>
                <w:szCs w:val="18"/>
              </w:rPr>
              <w:t>1</w:t>
            </w:r>
          </w:p>
        </w:tc>
        <w:tc>
          <w:tcPr>
            <w:tcW w:w="1414" w:type="dxa"/>
          </w:tcPr>
          <w:p w:rsidR="00E23E93" w:rsidRPr="00F91CDD" w:rsidRDefault="00E23E93" w:rsidP="00610FAC">
            <w:pPr>
              <w:jc w:val="center"/>
              <w:rPr>
                <w:sz w:val="18"/>
                <w:szCs w:val="18"/>
              </w:rPr>
            </w:pPr>
            <w:r>
              <w:rPr>
                <w:sz w:val="18"/>
                <w:szCs w:val="18"/>
              </w:rPr>
              <w:t>1780</w:t>
            </w:r>
          </w:p>
        </w:tc>
      </w:tr>
      <w:tr w:rsidR="00E23E93" w:rsidTr="00610FAC">
        <w:tc>
          <w:tcPr>
            <w:tcW w:w="1999" w:type="dxa"/>
            <w:vAlign w:val="center"/>
          </w:tcPr>
          <w:p w:rsidR="00E23E93" w:rsidRPr="00F91CDD" w:rsidRDefault="00E23E93" w:rsidP="00610FAC">
            <w:pPr>
              <w:jc w:val="center"/>
              <w:rPr>
                <w:sz w:val="18"/>
                <w:szCs w:val="18"/>
              </w:rPr>
            </w:pPr>
            <w:r w:rsidRPr="00F91CDD">
              <w:rPr>
                <w:sz w:val="18"/>
                <w:szCs w:val="18"/>
              </w:rPr>
              <w:t>GRAB HN</w:t>
            </w:r>
          </w:p>
        </w:tc>
        <w:tc>
          <w:tcPr>
            <w:tcW w:w="1998" w:type="dxa"/>
            <w:vAlign w:val="center"/>
          </w:tcPr>
          <w:p w:rsidR="00E23E93" w:rsidRPr="00F91CDD" w:rsidRDefault="00E23E93" w:rsidP="00610FAC">
            <w:pPr>
              <w:jc w:val="center"/>
              <w:rPr>
                <w:sz w:val="18"/>
                <w:szCs w:val="18"/>
              </w:rPr>
            </w:pPr>
            <w:r w:rsidRPr="00F91CDD">
              <w:rPr>
                <w:sz w:val="18"/>
                <w:szCs w:val="18"/>
              </w:rPr>
              <w:t>14</w:t>
            </w:r>
          </w:p>
        </w:tc>
        <w:tc>
          <w:tcPr>
            <w:tcW w:w="2129" w:type="dxa"/>
            <w:vAlign w:val="center"/>
          </w:tcPr>
          <w:p w:rsidR="00E23E93" w:rsidRPr="00F91CDD" w:rsidRDefault="00E23E93" w:rsidP="00610FAC">
            <w:pPr>
              <w:jc w:val="center"/>
              <w:rPr>
                <w:sz w:val="18"/>
                <w:szCs w:val="18"/>
              </w:rPr>
            </w:pPr>
            <w:r w:rsidRPr="00F91CDD">
              <w:rPr>
                <w:sz w:val="18"/>
                <w:szCs w:val="18"/>
              </w:rPr>
              <w:t>0</w:t>
            </w:r>
          </w:p>
        </w:tc>
        <w:tc>
          <w:tcPr>
            <w:tcW w:w="1748" w:type="dxa"/>
            <w:vAlign w:val="center"/>
          </w:tcPr>
          <w:p w:rsidR="00E23E93" w:rsidRPr="00F91CDD" w:rsidRDefault="00E23E93" w:rsidP="00610FAC">
            <w:pPr>
              <w:jc w:val="center"/>
              <w:rPr>
                <w:sz w:val="18"/>
                <w:szCs w:val="18"/>
              </w:rPr>
            </w:pPr>
            <w:r w:rsidRPr="00F91CDD">
              <w:rPr>
                <w:sz w:val="18"/>
                <w:szCs w:val="18"/>
              </w:rPr>
              <w:t>1 à plusieurs</w:t>
            </w:r>
          </w:p>
        </w:tc>
        <w:tc>
          <w:tcPr>
            <w:tcW w:w="1414" w:type="dxa"/>
          </w:tcPr>
          <w:p w:rsidR="00E23E93" w:rsidRPr="00F91CDD" w:rsidRDefault="00E23E93" w:rsidP="00610FAC">
            <w:pPr>
              <w:jc w:val="center"/>
              <w:rPr>
                <w:sz w:val="18"/>
                <w:szCs w:val="18"/>
              </w:rPr>
            </w:pPr>
            <w:r>
              <w:rPr>
                <w:sz w:val="18"/>
                <w:szCs w:val="18"/>
              </w:rPr>
              <w:t>220</w:t>
            </w:r>
          </w:p>
        </w:tc>
      </w:tr>
      <w:tr w:rsidR="00E23E93" w:rsidTr="00610FAC">
        <w:tc>
          <w:tcPr>
            <w:tcW w:w="1999" w:type="dxa"/>
            <w:vAlign w:val="center"/>
          </w:tcPr>
          <w:p w:rsidR="00E23E93" w:rsidRPr="00F91CDD" w:rsidRDefault="00E23E93" w:rsidP="00610FAC">
            <w:pPr>
              <w:jc w:val="center"/>
              <w:rPr>
                <w:sz w:val="18"/>
                <w:szCs w:val="18"/>
              </w:rPr>
            </w:pPr>
            <w:r w:rsidRPr="00F91CDD">
              <w:rPr>
                <w:sz w:val="18"/>
                <w:szCs w:val="18"/>
              </w:rPr>
              <w:t>Inter Bio Normandie</w:t>
            </w:r>
          </w:p>
        </w:tc>
        <w:tc>
          <w:tcPr>
            <w:tcW w:w="1998" w:type="dxa"/>
            <w:vAlign w:val="center"/>
          </w:tcPr>
          <w:p w:rsidR="00E23E93" w:rsidRPr="00F91CDD" w:rsidRDefault="00E23E93" w:rsidP="00610FAC">
            <w:pPr>
              <w:jc w:val="center"/>
              <w:rPr>
                <w:sz w:val="18"/>
                <w:szCs w:val="18"/>
              </w:rPr>
            </w:pPr>
            <w:r w:rsidRPr="00F91CDD">
              <w:rPr>
                <w:sz w:val="18"/>
                <w:szCs w:val="18"/>
              </w:rPr>
              <w:t>3</w:t>
            </w:r>
          </w:p>
        </w:tc>
        <w:tc>
          <w:tcPr>
            <w:tcW w:w="2129" w:type="dxa"/>
            <w:vAlign w:val="center"/>
          </w:tcPr>
          <w:p w:rsidR="00E23E93" w:rsidRPr="00F91CDD" w:rsidRDefault="00E23E93" w:rsidP="00610FAC">
            <w:pPr>
              <w:jc w:val="center"/>
              <w:rPr>
                <w:sz w:val="18"/>
                <w:szCs w:val="18"/>
              </w:rPr>
            </w:pPr>
            <w:r w:rsidRPr="00F91CDD">
              <w:rPr>
                <w:sz w:val="18"/>
                <w:szCs w:val="18"/>
              </w:rPr>
              <w:t>0</w:t>
            </w:r>
          </w:p>
        </w:tc>
        <w:tc>
          <w:tcPr>
            <w:tcW w:w="1748" w:type="dxa"/>
            <w:vAlign w:val="center"/>
          </w:tcPr>
          <w:p w:rsidR="00E23E93" w:rsidRPr="00F91CDD" w:rsidRDefault="00E23E93" w:rsidP="00610FAC">
            <w:pPr>
              <w:jc w:val="center"/>
              <w:rPr>
                <w:sz w:val="18"/>
                <w:szCs w:val="18"/>
              </w:rPr>
            </w:pPr>
            <w:r w:rsidRPr="00F91CDD">
              <w:rPr>
                <w:sz w:val="18"/>
                <w:szCs w:val="18"/>
              </w:rPr>
              <w:t>Selon évolution</w:t>
            </w:r>
          </w:p>
        </w:tc>
        <w:tc>
          <w:tcPr>
            <w:tcW w:w="1414" w:type="dxa"/>
          </w:tcPr>
          <w:p w:rsidR="00E23E93" w:rsidRPr="00F91CDD" w:rsidRDefault="00E23E93" w:rsidP="00610FAC">
            <w:pPr>
              <w:jc w:val="center"/>
              <w:rPr>
                <w:sz w:val="18"/>
                <w:szCs w:val="18"/>
              </w:rPr>
            </w:pPr>
            <w:r>
              <w:rPr>
                <w:sz w:val="18"/>
                <w:szCs w:val="18"/>
              </w:rPr>
              <w:t>38</w:t>
            </w:r>
          </w:p>
        </w:tc>
      </w:tr>
      <w:tr w:rsidR="00E23E93" w:rsidTr="00610FAC">
        <w:tc>
          <w:tcPr>
            <w:tcW w:w="1999" w:type="dxa"/>
            <w:vAlign w:val="center"/>
          </w:tcPr>
          <w:p w:rsidR="00E23E93" w:rsidRPr="00F91CDD" w:rsidRDefault="00E23E93" w:rsidP="00610FAC">
            <w:pPr>
              <w:jc w:val="center"/>
              <w:rPr>
                <w:sz w:val="18"/>
                <w:szCs w:val="18"/>
              </w:rPr>
            </w:pPr>
            <w:r w:rsidRPr="00F91CDD">
              <w:rPr>
                <w:sz w:val="18"/>
                <w:szCs w:val="18"/>
              </w:rPr>
              <w:t>Terre Bio Normandie</w:t>
            </w:r>
          </w:p>
        </w:tc>
        <w:tc>
          <w:tcPr>
            <w:tcW w:w="1998" w:type="dxa"/>
            <w:vAlign w:val="center"/>
          </w:tcPr>
          <w:p w:rsidR="00E23E93" w:rsidRPr="00F91CDD" w:rsidRDefault="00E23E93" w:rsidP="00610FAC">
            <w:pPr>
              <w:jc w:val="center"/>
              <w:rPr>
                <w:sz w:val="18"/>
                <w:szCs w:val="18"/>
              </w:rPr>
            </w:pPr>
            <w:r w:rsidRPr="00F91CDD">
              <w:rPr>
                <w:sz w:val="18"/>
                <w:szCs w:val="18"/>
              </w:rPr>
              <w:t>0</w:t>
            </w:r>
          </w:p>
        </w:tc>
        <w:tc>
          <w:tcPr>
            <w:tcW w:w="2129" w:type="dxa"/>
            <w:vAlign w:val="center"/>
          </w:tcPr>
          <w:p w:rsidR="00E23E93" w:rsidRPr="00F91CDD" w:rsidRDefault="00E23E93" w:rsidP="00610FAC">
            <w:pPr>
              <w:jc w:val="center"/>
              <w:rPr>
                <w:sz w:val="18"/>
                <w:szCs w:val="18"/>
              </w:rPr>
            </w:pPr>
            <w:r w:rsidRPr="00F91CDD">
              <w:rPr>
                <w:sz w:val="18"/>
                <w:szCs w:val="18"/>
              </w:rPr>
              <w:t>0</w:t>
            </w:r>
          </w:p>
        </w:tc>
        <w:tc>
          <w:tcPr>
            <w:tcW w:w="1748" w:type="dxa"/>
            <w:vAlign w:val="center"/>
          </w:tcPr>
          <w:p w:rsidR="00E23E93" w:rsidRPr="00F91CDD" w:rsidRDefault="00E23E93" w:rsidP="00610FAC">
            <w:pPr>
              <w:jc w:val="center"/>
              <w:rPr>
                <w:sz w:val="18"/>
                <w:szCs w:val="18"/>
              </w:rPr>
            </w:pPr>
            <w:r w:rsidRPr="00F91CDD">
              <w:rPr>
                <w:sz w:val="18"/>
                <w:szCs w:val="18"/>
              </w:rPr>
              <w:t>1 à 3</w:t>
            </w:r>
          </w:p>
        </w:tc>
        <w:tc>
          <w:tcPr>
            <w:tcW w:w="1414" w:type="dxa"/>
          </w:tcPr>
          <w:p w:rsidR="00E23E93" w:rsidRPr="00F91CDD" w:rsidRDefault="00E23E93" w:rsidP="00610FAC">
            <w:pPr>
              <w:jc w:val="center"/>
              <w:rPr>
                <w:sz w:val="18"/>
                <w:szCs w:val="18"/>
              </w:rPr>
            </w:pPr>
            <w:r>
              <w:rPr>
                <w:sz w:val="18"/>
                <w:szCs w:val="18"/>
              </w:rPr>
              <w:t>937</w:t>
            </w:r>
          </w:p>
        </w:tc>
      </w:tr>
      <w:tr w:rsidR="00E23E93" w:rsidTr="00610FAC">
        <w:tc>
          <w:tcPr>
            <w:tcW w:w="1999" w:type="dxa"/>
            <w:vAlign w:val="center"/>
          </w:tcPr>
          <w:p w:rsidR="00E23E93" w:rsidRPr="00F91CDD" w:rsidRDefault="00E23E93" w:rsidP="00610FAC">
            <w:pPr>
              <w:jc w:val="center"/>
              <w:rPr>
                <w:sz w:val="18"/>
                <w:szCs w:val="18"/>
              </w:rPr>
            </w:pPr>
            <w:r w:rsidRPr="00F91CDD">
              <w:rPr>
                <w:sz w:val="18"/>
                <w:szCs w:val="18"/>
              </w:rPr>
              <w:t>Légumerie Conserverie</w:t>
            </w:r>
          </w:p>
        </w:tc>
        <w:tc>
          <w:tcPr>
            <w:tcW w:w="1998" w:type="dxa"/>
            <w:vAlign w:val="center"/>
          </w:tcPr>
          <w:p w:rsidR="00E23E93" w:rsidRPr="00F91CDD" w:rsidRDefault="00E23E93" w:rsidP="00610FAC">
            <w:pPr>
              <w:jc w:val="center"/>
              <w:rPr>
                <w:sz w:val="18"/>
                <w:szCs w:val="18"/>
              </w:rPr>
            </w:pPr>
            <w:r w:rsidRPr="00F91CDD">
              <w:rPr>
                <w:sz w:val="18"/>
                <w:szCs w:val="18"/>
              </w:rPr>
              <w:t>0</w:t>
            </w:r>
          </w:p>
        </w:tc>
        <w:tc>
          <w:tcPr>
            <w:tcW w:w="2129" w:type="dxa"/>
            <w:vAlign w:val="center"/>
          </w:tcPr>
          <w:p w:rsidR="00E23E93" w:rsidRPr="00F91CDD" w:rsidRDefault="00E23E93" w:rsidP="00610FAC">
            <w:pPr>
              <w:jc w:val="center"/>
              <w:rPr>
                <w:sz w:val="18"/>
                <w:szCs w:val="18"/>
              </w:rPr>
            </w:pPr>
            <w:r w:rsidRPr="00F91CDD">
              <w:rPr>
                <w:sz w:val="18"/>
                <w:szCs w:val="18"/>
              </w:rPr>
              <w:t>10 (dont 8 ESS)</w:t>
            </w:r>
          </w:p>
        </w:tc>
        <w:tc>
          <w:tcPr>
            <w:tcW w:w="1748" w:type="dxa"/>
            <w:vAlign w:val="center"/>
          </w:tcPr>
          <w:p w:rsidR="00E23E93" w:rsidRPr="00F91CDD" w:rsidRDefault="00E23E93" w:rsidP="00610FAC">
            <w:pPr>
              <w:jc w:val="center"/>
              <w:rPr>
                <w:sz w:val="18"/>
                <w:szCs w:val="18"/>
              </w:rPr>
            </w:pPr>
            <w:r w:rsidRPr="00F91CDD">
              <w:rPr>
                <w:sz w:val="18"/>
                <w:szCs w:val="18"/>
              </w:rPr>
              <w:t>Selon évolution</w:t>
            </w:r>
          </w:p>
        </w:tc>
        <w:tc>
          <w:tcPr>
            <w:tcW w:w="1414" w:type="dxa"/>
          </w:tcPr>
          <w:p w:rsidR="00E23E93" w:rsidRPr="00F91CDD" w:rsidRDefault="00E23E93" w:rsidP="00610FAC">
            <w:pPr>
              <w:jc w:val="center"/>
              <w:rPr>
                <w:sz w:val="18"/>
                <w:szCs w:val="18"/>
              </w:rPr>
            </w:pPr>
            <w:r>
              <w:rPr>
                <w:sz w:val="18"/>
                <w:szCs w:val="18"/>
              </w:rPr>
              <w:t>1030</w:t>
            </w:r>
          </w:p>
        </w:tc>
      </w:tr>
      <w:tr w:rsidR="00E23E93" w:rsidTr="00610FAC">
        <w:tc>
          <w:tcPr>
            <w:tcW w:w="1999" w:type="dxa"/>
            <w:vAlign w:val="center"/>
          </w:tcPr>
          <w:p w:rsidR="00E23E93" w:rsidRPr="00F91CDD" w:rsidRDefault="00E23E93" w:rsidP="00610FAC">
            <w:pPr>
              <w:jc w:val="center"/>
              <w:rPr>
                <w:sz w:val="18"/>
                <w:szCs w:val="18"/>
              </w:rPr>
            </w:pPr>
            <w:proofErr w:type="spellStart"/>
            <w:r w:rsidRPr="00F91CDD">
              <w:rPr>
                <w:sz w:val="18"/>
                <w:szCs w:val="18"/>
              </w:rPr>
              <w:t>My</w:t>
            </w:r>
            <w:proofErr w:type="spellEnd"/>
            <w:r w:rsidRPr="00F91CDD">
              <w:rPr>
                <w:sz w:val="18"/>
                <w:szCs w:val="18"/>
              </w:rPr>
              <w:t xml:space="preserve"> Traiteur Bio</w:t>
            </w:r>
          </w:p>
        </w:tc>
        <w:tc>
          <w:tcPr>
            <w:tcW w:w="1998" w:type="dxa"/>
            <w:vAlign w:val="center"/>
          </w:tcPr>
          <w:p w:rsidR="00E23E93" w:rsidRPr="00F91CDD" w:rsidRDefault="00E23E93" w:rsidP="00610FAC">
            <w:pPr>
              <w:jc w:val="center"/>
              <w:rPr>
                <w:sz w:val="18"/>
                <w:szCs w:val="18"/>
              </w:rPr>
            </w:pPr>
            <w:r w:rsidRPr="00F91CDD">
              <w:rPr>
                <w:sz w:val="18"/>
                <w:szCs w:val="18"/>
              </w:rPr>
              <w:t>1</w:t>
            </w:r>
          </w:p>
        </w:tc>
        <w:tc>
          <w:tcPr>
            <w:tcW w:w="2129" w:type="dxa"/>
            <w:vAlign w:val="center"/>
          </w:tcPr>
          <w:p w:rsidR="00E23E93" w:rsidRPr="00F91CDD" w:rsidRDefault="00E23E93" w:rsidP="00610FAC">
            <w:pPr>
              <w:jc w:val="center"/>
              <w:rPr>
                <w:sz w:val="18"/>
                <w:szCs w:val="18"/>
              </w:rPr>
            </w:pPr>
            <w:r w:rsidRPr="00F91CDD">
              <w:rPr>
                <w:sz w:val="18"/>
                <w:szCs w:val="18"/>
              </w:rPr>
              <w:t>4 (dont 2 ESS)</w:t>
            </w:r>
          </w:p>
        </w:tc>
        <w:tc>
          <w:tcPr>
            <w:tcW w:w="1748" w:type="dxa"/>
            <w:vAlign w:val="center"/>
          </w:tcPr>
          <w:p w:rsidR="00E23E93" w:rsidRPr="00F91CDD" w:rsidRDefault="00E23E93" w:rsidP="00610FAC">
            <w:pPr>
              <w:jc w:val="center"/>
              <w:rPr>
                <w:sz w:val="18"/>
                <w:szCs w:val="18"/>
              </w:rPr>
            </w:pPr>
            <w:r w:rsidRPr="00F91CDD">
              <w:rPr>
                <w:sz w:val="18"/>
                <w:szCs w:val="18"/>
              </w:rPr>
              <w:t>Selon évolution</w:t>
            </w:r>
          </w:p>
        </w:tc>
        <w:tc>
          <w:tcPr>
            <w:tcW w:w="1414" w:type="dxa"/>
          </w:tcPr>
          <w:p w:rsidR="00E23E93" w:rsidRPr="00F91CDD" w:rsidRDefault="00E23E93" w:rsidP="00610FAC">
            <w:pPr>
              <w:jc w:val="center"/>
              <w:rPr>
                <w:sz w:val="18"/>
                <w:szCs w:val="18"/>
              </w:rPr>
            </w:pPr>
            <w:r>
              <w:rPr>
                <w:sz w:val="18"/>
                <w:szCs w:val="18"/>
              </w:rPr>
              <w:t>470</w:t>
            </w:r>
          </w:p>
        </w:tc>
      </w:tr>
      <w:tr w:rsidR="00E23E93" w:rsidTr="00610FAC">
        <w:tc>
          <w:tcPr>
            <w:tcW w:w="1999" w:type="dxa"/>
            <w:vAlign w:val="center"/>
          </w:tcPr>
          <w:p w:rsidR="00E23E93" w:rsidRPr="00F91CDD" w:rsidRDefault="00E23E93" w:rsidP="00610FAC">
            <w:pPr>
              <w:jc w:val="center"/>
              <w:rPr>
                <w:sz w:val="18"/>
                <w:szCs w:val="18"/>
              </w:rPr>
            </w:pPr>
            <w:r w:rsidRPr="00F91CDD">
              <w:rPr>
                <w:sz w:val="18"/>
                <w:szCs w:val="18"/>
              </w:rPr>
              <w:t>Total</w:t>
            </w:r>
          </w:p>
        </w:tc>
        <w:tc>
          <w:tcPr>
            <w:tcW w:w="1998" w:type="dxa"/>
            <w:vAlign w:val="center"/>
          </w:tcPr>
          <w:p w:rsidR="00E23E93" w:rsidRPr="00F91CDD" w:rsidRDefault="00E23E93" w:rsidP="00610FAC">
            <w:pPr>
              <w:jc w:val="center"/>
              <w:rPr>
                <w:sz w:val="18"/>
                <w:szCs w:val="18"/>
              </w:rPr>
            </w:pPr>
            <w:r w:rsidRPr="00F91CDD">
              <w:rPr>
                <w:sz w:val="18"/>
                <w:szCs w:val="18"/>
              </w:rPr>
              <w:t>28</w:t>
            </w:r>
          </w:p>
        </w:tc>
        <w:tc>
          <w:tcPr>
            <w:tcW w:w="2129" w:type="dxa"/>
            <w:vAlign w:val="center"/>
          </w:tcPr>
          <w:p w:rsidR="00E23E93" w:rsidRPr="00F91CDD" w:rsidRDefault="00E23E93" w:rsidP="00610FAC">
            <w:pPr>
              <w:jc w:val="center"/>
              <w:rPr>
                <w:sz w:val="18"/>
                <w:szCs w:val="18"/>
              </w:rPr>
            </w:pPr>
            <w:r w:rsidRPr="00F91CDD">
              <w:rPr>
                <w:sz w:val="18"/>
                <w:szCs w:val="18"/>
              </w:rPr>
              <w:t>14</w:t>
            </w:r>
          </w:p>
        </w:tc>
        <w:tc>
          <w:tcPr>
            <w:tcW w:w="1748" w:type="dxa"/>
            <w:vAlign w:val="center"/>
          </w:tcPr>
          <w:p w:rsidR="00E23E93" w:rsidRPr="00F91CDD" w:rsidRDefault="00E23E93" w:rsidP="00610FAC">
            <w:pPr>
              <w:jc w:val="center"/>
              <w:rPr>
                <w:sz w:val="18"/>
                <w:szCs w:val="18"/>
              </w:rPr>
            </w:pPr>
            <w:r w:rsidRPr="00F91CDD">
              <w:rPr>
                <w:sz w:val="18"/>
                <w:szCs w:val="18"/>
              </w:rPr>
              <w:t>3 à 6</w:t>
            </w:r>
          </w:p>
        </w:tc>
        <w:tc>
          <w:tcPr>
            <w:tcW w:w="1414" w:type="dxa"/>
          </w:tcPr>
          <w:p w:rsidR="00E23E93" w:rsidRPr="00F91CDD" w:rsidRDefault="00E23E93" w:rsidP="00610FAC">
            <w:pPr>
              <w:jc w:val="center"/>
              <w:rPr>
                <w:sz w:val="18"/>
                <w:szCs w:val="18"/>
              </w:rPr>
            </w:pPr>
            <w:r>
              <w:rPr>
                <w:sz w:val="18"/>
                <w:szCs w:val="18"/>
              </w:rPr>
              <w:t>4375</w:t>
            </w:r>
          </w:p>
        </w:tc>
      </w:tr>
      <w:tr w:rsidR="00E23E93" w:rsidTr="00610FAC">
        <w:tc>
          <w:tcPr>
            <w:tcW w:w="1999" w:type="dxa"/>
            <w:vAlign w:val="center"/>
          </w:tcPr>
          <w:p w:rsidR="00E23E93" w:rsidRPr="00F91CDD" w:rsidRDefault="00E23E93" w:rsidP="00610FAC">
            <w:pPr>
              <w:jc w:val="center"/>
              <w:rPr>
                <w:sz w:val="18"/>
                <w:szCs w:val="18"/>
              </w:rPr>
            </w:pPr>
            <w:r w:rsidRPr="00F91CDD">
              <w:rPr>
                <w:sz w:val="18"/>
                <w:szCs w:val="18"/>
              </w:rPr>
              <w:t>Total prévisionnel à n+2</w:t>
            </w:r>
          </w:p>
        </w:tc>
        <w:tc>
          <w:tcPr>
            <w:tcW w:w="5875" w:type="dxa"/>
            <w:gridSpan w:val="3"/>
            <w:vAlign w:val="center"/>
          </w:tcPr>
          <w:p w:rsidR="00E23E93" w:rsidRPr="00F91CDD" w:rsidRDefault="00E23E93" w:rsidP="00610FAC">
            <w:pPr>
              <w:jc w:val="center"/>
              <w:rPr>
                <w:sz w:val="18"/>
                <w:szCs w:val="18"/>
              </w:rPr>
            </w:pPr>
            <w:r w:rsidRPr="00F91CDD">
              <w:rPr>
                <w:sz w:val="18"/>
                <w:szCs w:val="18"/>
              </w:rPr>
              <w:t>48</w:t>
            </w:r>
          </w:p>
        </w:tc>
        <w:tc>
          <w:tcPr>
            <w:tcW w:w="1414" w:type="dxa"/>
          </w:tcPr>
          <w:p w:rsidR="00E23E93" w:rsidRPr="00F91CDD" w:rsidRDefault="00E23E93" w:rsidP="00610FAC">
            <w:pPr>
              <w:jc w:val="center"/>
              <w:rPr>
                <w:sz w:val="18"/>
                <w:szCs w:val="18"/>
              </w:rPr>
            </w:pPr>
          </w:p>
        </w:tc>
      </w:tr>
    </w:tbl>
    <w:p w:rsidR="00E23E93" w:rsidRDefault="00E23E93" w:rsidP="00E23E93">
      <w:pPr>
        <w:spacing w:after="0" w:line="240" w:lineRule="auto"/>
        <w:ind w:right="-50"/>
        <w:jc w:val="both"/>
        <w:rPr>
          <w:rFonts w:eastAsia="Times New Roman" w:cs="Times New Roman"/>
          <w:sz w:val="24"/>
          <w:szCs w:val="24"/>
          <w:u w:val="single"/>
          <w:lang w:eastAsia="fr-FR"/>
        </w:rPr>
      </w:pPr>
    </w:p>
    <w:p w:rsidR="00E23E93" w:rsidRPr="00E23E93" w:rsidRDefault="00E23E93" w:rsidP="00E23E93">
      <w:pPr>
        <w:spacing w:after="0" w:line="240" w:lineRule="auto"/>
        <w:ind w:right="-50"/>
        <w:jc w:val="both"/>
        <w:rPr>
          <w:rFonts w:eastAsia="Times New Roman" w:cs="Times New Roman"/>
          <w:sz w:val="24"/>
          <w:szCs w:val="24"/>
          <w:u w:val="single"/>
          <w:lang w:eastAsia="fr-FR"/>
        </w:rPr>
      </w:pPr>
    </w:p>
    <w:p w:rsidR="00E23E93" w:rsidRDefault="00E23E93" w:rsidP="002F2795">
      <w:pPr>
        <w:pStyle w:val="Paragraphedeliste"/>
        <w:numPr>
          <w:ilvl w:val="0"/>
          <w:numId w:val="3"/>
        </w:numPr>
        <w:spacing w:after="0" w:line="240" w:lineRule="auto"/>
        <w:ind w:right="-50"/>
        <w:jc w:val="both"/>
        <w:rPr>
          <w:rFonts w:eastAsia="Times New Roman" w:cs="Times New Roman"/>
          <w:sz w:val="24"/>
          <w:szCs w:val="24"/>
          <w:u w:val="single"/>
          <w:lang w:eastAsia="fr-FR"/>
        </w:rPr>
      </w:pPr>
      <w:r>
        <w:rPr>
          <w:rFonts w:eastAsia="Times New Roman" w:cs="Times New Roman"/>
          <w:sz w:val="24"/>
          <w:szCs w:val="24"/>
          <w:u w:val="single"/>
          <w:lang w:eastAsia="fr-FR"/>
        </w:rPr>
        <w:t>Premiers résultats et visibilité nationale du projet</w:t>
      </w:r>
    </w:p>
    <w:p w:rsidR="00E23E93" w:rsidRPr="00E23E93" w:rsidRDefault="00E23E93" w:rsidP="00E23E93">
      <w:pPr>
        <w:spacing w:after="0" w:line="240" w:lineRule="auto"/>
        <w:ind w:right="-50"/>
        <w:jc w:val="both"/>
        <w:rPr>
          <w:rFonts w:eastAsia="Times New Roman" w:cs="Times New Roman"/>
          <w:sz w:val="24"/>
          <w:szCs w:val="24"/>
          <w:u w:val="single"/>
          <w:lang w:eastAsia="fr-FR"/>
        </w:rPr>
      </w:pPr>
    </w:p>
    <w:p w:rsidR="00AB21E2" w:rsidRDefault="00AB21E2" w:rsidP="002F2795">
      <w:pPr>
        <w:jc w:val="both"/>
        <w:rPr>
          <w:sz w:val="24"/>
          <w:szCs w:val="24"/>
        </w:rPr>
      </w:pPr>
      <w:r>
        <w:rPr>
          <w:sz w:val="24"/>
          <w:szCs w:val="24"/>
        </w:rPr>
        <w:t xml:space="preserve">Le suivi qualitatif de la ressource sur le champ captant des Hauts Prés permet </w:t>
      </w:r>
      <w:r w:rsidR="00A27768">
        <w:rPr>
          <w:sz w:val="24"/>
          <w:szCs w:val="24"/>
        </w:rPr>
        <w:t xml:space="preserve">déjà </w:t>
      </w:r>
      <w:r w:rsidR="00537308">
        <w:rPr>
          <w:sz w:val="24"/>
          <w:szCs w:val="24"/>
        </w:rPr>
        <w:t xml:space="preserve">d’observer une disparition de </w:t>
      </w:r>
      <w:r w:rsidR="000742B5">
        <w:rPr>
          <w:sz w:val="24"/>
          <w:szCs w:val="24"/>
        </w:rPr>
        <w:t xml:space="preserve">certains </w:t>
      </w:r>
      <w:r w:rsidR="00A27768">
        <w:rPr>
          <w:sz w:val="24"/>
          <w:szCs w:val="24"/>
        </w:rPr>
        <w:t>pesticides</w:t>
      </w:r>
      <w:r w:rsidR="00537308">
        <w:rPr>
          <w:sz w:val="24"/>
          <w:szCs w:val="24"/>
        </w:rPr>
        <w:t xml:space="preserve"> retrouvés auparavant</w:t>
      </w:r>
      <w:r w:rsidR="00577D86">
        <w:rPr>
          <w:sz w:val="24"/>
          <w:szCs w:val="24"/>
        </w:rPr>
        <w:t xml:space="preserve"> (Isoproturon, Fénuron, </w:t>
      </w:r>
      <w:r w:rsidR="00537308">
        <w:rPr>
          <w:sz w:val="24"/>
          <w:szCs w:val="24"/>
        </w:rPr>
        <w:t>Imidaclopride)</w:t>
      </w:r>
      <w:r w:rsidR="00A27768">
        <w:rPr>
          <w:sz w:val="24"/>
          <w:szCs w:val="24"/>
        </w:rPr>
        <w:t xml:space="preserve"> ainsi </w:t>
      </w:r>
      <w:r>
        <w:rPr>
          <w:sz w:val="24"/>
          <w:szCs w:val="24"/>
        </w:rPr>
        <w:t xml:space="preserve"> </w:t>
      </w:r>
      <w:r w:rsidR="00A27768">
        <w:rPr>
          <w:sz w:val="24"/>
          <w:szCs w:val="24"/>
        </w:rPr>
        <w:t>qu’</w:t>
      </w:r>
      <w:r>
        <w:rPr>
          <w:sz w:val="24"/>
          <w:szCs w:val="24"/>
        </w:rPr>
        <w:t xml:space="preserve">un maintien de la teneur </w:t>
      </w:r>
      <w:r w:rsidR="000742B5">
        <w:rPr>
          <w:sz w:val="24"/>
          <w:szCs w:val="24"/>
        </w:rPr>
        <w:t xml:space="preserve">très basse </w:t>
      </w:r>
      <w:r>
        <w:rPr>
          <w:sz w:val="24"/>
          <w:szCs w:val="24"/>
        </w:rPr>
        <w:t>en nitrates.</w:t>
      </w:r>
      <w:r w:rsidR="00361E4F">
        <w:rPr>
          <w:sz w:val="24"/>
          <w:szCs w:val="24"/>
        </w:rPr>
        <w:t xml:space="preserve"> </w:t>
      </w:r>
    </w:p>
    <w:p w:rsidR="000742B5" w:rsidRDefault="003D1285" w:rsidP="002F2795">
      <w:pPr>
        <w:jc w:val="both"/>
        <w:rPr>
          <w:sz w:val="24"/>
          <w:szCs w:val="24"/>
        </w:rPr>
      </w:pPr>
      <w:r>
        <w:rPr>
          <w:sz w:val="24"/>
          <w:szCs w:val="24"/>
        </w:rPr>
        <w:t>L’évolution de pratiques agricoles couplée</w:t>
      </w:r>
      <w:r w:rsidR="000742B5">
        <w:rPr>
          <w:sz w:val="24"/>
          <w:szCs w:val="24"/>
        </w:rPr>
        <w:t xml:space="preserve"> à l’aménagement de toute la zone </w:t>
      </w:r>
      <w:r>
        <w:rPr>
          <w:sz w:val="24"/>
          <w:szCs w:val="24"/>
        </w:rPr>
        <w:t>de production (plantations des h</w:t>
      </w:r>
      <w:r w:rsidR="000742B5">
        <w:rPr>
          <w:sz w:val="24"/>
          <w:szCs w:val="24"/>
        </w:rPr>
        <w:t xml:space="preserve">aies, gestion différenciée des espaces communs et de la zone de captage) </w:t>
      </w:r>
      <w:r>
        <w:rPr>
          <w:sz w:val="24"/>
          <w:szCs w:val="24"/>
        </w:rPr>
        <w:t>permet</w:t>
      </w:r>
      <w:r w:rsidR="000742B5">
        <w:rPr>
          <w:sz w:val="24"/>
          <w:szCs w:val="24"/>
        </w:rPr>
        <w:t xml:space="preserve"> d’améliorer la qualité du milieu et de favoriser la biodiversité. </w:t>
      </w:r>
      <w:r>
        <w:rPr>
          <w:sz w:val="24"/>
          <w:szCs w:val="24"/>
        </w:rPr>
        <w:t>Géographiquement, ce site est à la croisée de différents corridors écologiques identifiés dans le Scot du territoire. La modification paysagère induite par les changements de pratiques permet d’améliorer la conti</w:t>
      </w:r>
      <w:r w:rsidR="00C97B1E">
        <w:rPr>
          <w:sz w:val="24"/>
          <w:szCs w:val="24"/>
        </w:rPr>
        <w:t>nuité écologique dans ce secteur</w:t>
      </w:r>
      <w:r w:rsidR="009E0BC5">
        <w:rPr>
          <w:sz w:val="24"/>
          <w:szCs w:val="24"/>
        </w:rPr>
        <w:t xml:space="preserve"> stratégique de la confluence</w:t>
      </w:r>
      <w:r w:rsidR="00C97B1E">
        <w:rPr>
          <w:sz w:val="24"/>
          <w:szCs w:val="24"/>
        </w:rPr>
        <w:t xml:space="preserve"> Eure et Seine.</w:t>
      </w:r>
    </w:p>
    <w:p w:rsidR="008D1CD4" w:rsidRDefault="008D1CD4" w:rsidP="002F2795">
      <w:pPr>
        <w:jc w:val="both"/>
        <w:rPr>
          <w:sz w:val="24"/>
          <w:szCs w:val="24"/>
        </w:rPr>
      </w:pPr>
      <w:r>
        <w:rPr>
          <w:sz w:val="24"/>
          <w:szCs w:val="24"/>
        </w:rPr>
        <w:t>De plus, les modifications de pratiques et la mise en place de réseau</w:t>
      </w:r>
      <w:r w:rsidR="009E0BC5">
        <w:rPr>
          <w:sz w:val="24"/>
          <w:szCs w:val="24"/>
        </w:rPr>
        <w:t>x</w:t>
      </w:r>
      <w:r>
        <w:rPr>
          <w:sz w:val="24"/>
          <w:szCs w:val="24"/>
        </w:rPr>
        <w:t xml:space="preserve"> de distribution en circuits de proximité permettent d’envisager la réduction des transports de marchandise</w:t>
      </w:r>
      <w:r w:rsidR="00C97B1E">
        <w:rPr>
          <w:sz w:val="24"/>
          <w:szCs w:val="24"/>
        </w:rPr>
        <w:t>s</w:t>
      </w:r>
      <w:r>
        <w:rPr>
          <w:sz w:val="24"/>
          <w:szCs w:val="24"/>
        </w:rPr>
        <w:t xml:space="preserve"> et </w:t>
      </w:r>
      <w:r w:rsidR="00C97B1E">
        <w:rPr>
          <w:sz w:val="24"/>
          <w:szCs w:val="24"/>
        </w:rPr>
        <w:t>par incidence</w:t>
      </w:r>
      <w:r>
        <w:rPr>
          <w:sz w:val="24"/>
          <w:szCs w:val="24"/>
        </w:rPr>
        <w:t xml:space="preserve"> des gaz à effet de serre sur le territoire de la CASE.</w:t>
      </w:r>
    </w:p>
    <w:p w:rsidR="00C97B1E" w:rsidRPr="002F2795" w:rsidRDefault="00C97B1E" w:rsidP="002F2795">
      <w:pPr>
        <w:jc w:val="both"/>
        <w:rPr>
          <w:sz w:val="24"/>
          <w:szCs w:val="24"/>
        </w:rPr>
      </w:pPr>
    </w:p>
    <w:p w:rsidR="00AB21E2" w:rsidRDefault="00B93CAC" w:rsidP="00C548B3">
      <w:pPr>
        <w:jc w:val="both"/>
        <w:rPr>
          <w:sz w:val="24"/>
          <w:szCs w:val="24"/>
        </w:rPr>
      </w:pPr>
      <w:r>
        <w:rPr>
          <w:sz w:val="24"/>
          <w:szCs w:val="24"/>
        </w:rPr>
        <w:lastRenderedPageBreak/>
        <w:t xml:space="preserve">Présentée dans de nombreux colloques à travers la France, </w:t>
      </w:r>
      <w:r w:rsidR="008A2DD9">
        <w:rPr>
          <w:sz w:val="24"/>
          <w:szCs w:val="24"/>
        </w:rPr>
        <w:t>au titre d’action exemplaire et innovante</w:t>
      </w:r>
      <w:r>
        <w:rPr>
          <w:sz w:val="24"/>
          <w:szCs w:val="24"/>
        </w:rPr>
        <w:t xml:space="preserve">, </w:t>
      </w:r>
      <w:r w:rsidR="00AB21E2">
        <w:rPr>
          <w:sz w:val="24"/>
          <w:szCs w:val="24"/>
        </w:rPr>
        <w:t>c</w:t>
      </w:r>
      <w:r w:rsidR="007A764B" w:rsidRPr="00C64DB3">
        <w:rPr>
          <w:sz w:val="24"/>
          <w:szCs w:val="24"/>
        </w:rPr>
        <w:t>ette opération fait l’objet d’une fiche thématiq</w:t>
      </w:r>
      <w:r w:rsidR="00AB21E2">
        <w:rPr>
          <w:sz w:val="24"/>
          <w:szCs w:val="24"/>
        </w:rPr>
        <w:t>ue de la « boîte à outil » FNAB-ONEMA</w:t>
      </w:r>
      <w:r w:rsidR="00E15824">
        <w:rPr>
          <w:sz w:val="24"/>
          <w:szCs w:val="24"/>
        </w:rPr>
        <w:t>-AMF</w:t>
      </w:r>
      <w:r w:rsidR="007A764B" w:rsidRPr="00C64DB3">
        <w:rPr>
          <w:sz w:val="24"/>
          <w:szCs w:val="24"/>
        </w:rPr>
        <w:t xml:space="preserve"> sur l’approche transversale du développement de l’AB s</w:t>
      </w:r>
      <w:r w:rsidR="007D47CD">
        <w:rPr>
          <w:sz w:val="24"/>
          <w:szCs w:val="24"/>
        </w:rPr>
        <w:t>ur les territoires à enjeu eau</w:t>
      </w:r>
      <w:r w:rsidR="007A764B" w:rsidRPr="00C64DB3">
        <w:rPr>
          <w:sz w:val="24"/>
          <w:szCs w:val="24"/>
        </w:rPr>
        <w:t xml:space="preserve">.  </w:t>
      </w:r>
    </w:p>
    <w:p w:rsidR="00C97B1E" w:rsidRPr="00C64DB3" w:rsidRDefault="00C97B1E" w:rsidP="00C548B3">
      <w:pPr>
        <w:jc w:val="both"/>
        <w:rPr>
          <w:sz w:val="24"/>
          <w:szCs w:val="24"/>
        </w:rPr>
      </w:pPr>
      <w:r>
        <w:rPr>
          <w:sz w:val="24"/>
          <w:szCs w:val="24"/>
        </w:rPr>
        <w:t>De la même façon, l’IRSTEA (Institut national de Recherche en Sciences et Technologies pour l’Environnement et l’Agriculture),</w:t>
      </w:r>
      <w:r w:rsidRPr="00C97B1E">
        <w:t xml:space="preserve"> </w:t>
      </w:r>
      <w:r w:rsidRPr="00C97B1E">
        <w:rPr>
          <w:sz w:val="24"/>
          <w:szCs w:val="24"/>
        </w:rPr>
        <w:t>en se basant sur l’exemple des Hauts Prés</w:t>
      </w:r>
      <w:r>
        <w:rPr>
          <w:sz w:val="24"/>
          <w:szCs w:val="24"/>
        </w:rPr>
        <w:t xml:space="preserve">, souhaite </w:t>
      </w:r>
      <w:r w:rsidRPr="00C97B1E">
        <w:rPr>
          <w:sz w:val="24"/>
          <w:szCs w:val="24"/>
        </w:rPr>
        <w:t xml:space="preserve">élaborer un guide méthodologique sur les </w:t>
      </w:r>
      <w:r>
        <w:rPr>
          <w:sz w:val="24"/>
          <w:szCs w:val="24"/>
        </w:rPr>
        <w:t>« </w:t>
      </w:r>
      <w:r w:rsidRPr="00C97B1E">
        <w:rPr>
          <w:sz w:val="24"/>
          <w:szCs w:val="24"/>
        </w:rPr>
        <w:t>bonnes pratiques partenariales</w:t>
      </w:r>
      <w:r w:rsidRPr="00C97B1E">
        <w:t xml:space="preserve"> </w:t>
      </w:r>
      <w:r w:rsidRPr="00C97B1E">
        <w:rPr>
          <w:sz w:val="24"/>
          <w:szCs w:val="24"/>
        </w:rPr>
        <w:t xml:space="preserve">en faveur de la gestion des pollutions diffuses, </w:t>
      </w:r>
      <w:r>
        <w:rPr>
          <w:sz w:val="24"/>
          <w:szCs w:val="24"/>
        </w:rPr>
        <w:t>à destination des collectivités ».</w:t>
      </w:r>
    </w:p>
    <w:sectPr w:rsidR="00C97B1E" w:rsidRPr="00C64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70A"/>
    <w:multiLevelType w:val="hybridMultilevel"/>
    <w:tmpl w:val="A3EE6C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F318E2"/>
    <w:multiLevelType w:val="hybridMultilevel"/>
    <w:tmpl w:val="DB20E370"/>
    <w:lvl w:ilvl="0" w:tplc="797AC0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0C2870"/>
    <w:multiLevelType w:val="hybridMultilevel"/>
    <w:tmpl w:val="CC207D04"/>
    <w:lvl w:ilvl="0" w:tplc="817004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D8"/>
    <w:rsid w:val="00061EF5"/>
    <w:rsid w:val="000742B5"/>
    <w:rsid w:val="000F2DD3"/>
    <w:rsid w:val="001861C1"/>
    <w:rsid w:val="001C1302"/>
    <w:rsid w:val="001D63E8"/>
    <w:rsid w:val="00200E44"/>
    <w:rsid w:val="00237D2B"/>
    <w:rsid w:val="002F2795"/>
    <w:rsid w:val="00361E4F"/>
    <w:rsid w:val="00374CA1"/>
    <w:rsid w:val="003D1285"/>
    <w:rsid w:val="003D4F13"/>
    <w:rsid w:val="00404726"/>
    <w:rsid w:val="004E1F3B"/>
    <w:rsid w:val="004E5F1C"/>
    <w:rsid w:val="004F4EDC"/>
    <w:rsid w:val="00537308"/>
    <w:rsid w:val="00577D86"/>
    <w:rsid w:val="005A0EE5"/>
    <w:rsid w:val="005E615C"/>
    <w:rsid w:val="00606A90"/>
    <w:rsid w:val="00620AAA"/>
    <w:rsid w:val="00653694"/>
    <w:rsid w:val="00657233"/>
    <w:rsid w:val="006A5774"/>
    <w:rsid w:val="00731A81"/>
    <w:rsid w:val="00736B00"/>
    <w:rsid w:val="00794ABF"/>
    <w:rsid w:val="007A764B"/>
    <w:rsid w:val="007D2E71"/>
    <w:rsid w:val="007D47CD"/>
    <w:rsid w:val="008A2DD9"/>
    <w:rsid w:val="008D1CD4"/>
    <w:rsid w:val="00912AE9"/>
    <w:rsid w:val="00916554"/>
    <w:rsid w:val="0099346E"/>
    <w:rsid w:val="009C1020"/>
    <w:rsid w:val="009E0BC5"/>
    <w:rsid w:val="00A27768"/>
    <w:rsid w:val="00A554E6"/>
    <w:rsid w:val="00AB21E2"/>
    <w:rsid w:val="00B0499F"/>
    <w:rsid w:val="00B93CAC"/>
    <w:rsid w:val="00BD1ED8"/>
    <w:rsid w:val="00C22216"/>
    <w:rsid w:val="00C548B3"/>
    <w:rsid w:val="00C64DB3"/>
    <w:rsid w:val="00C74638"/>
    <w:rsid w:val="00C820D5"/>
    <w:rsid w:val="00C91027"/>
    <w:rsid w:val="00C97B1E"/>
    <w:rsid w:val="00E15824"/>
    <w:rsid w:val="00E23E93"/>
    <w:rsid w:val="00E25EC6"/>
    <w:rsid w:val="00E41CF1"/>
    <w:rsid w:val="00E528C3"/>
    <w:rsid w:val="00E60DA0"/>
    <w:rsid w:val="00EC3348"/>
    <w:rsid w:val="00F91CDD"/>
    <w:rsid w:val="00FD5B55"/>
    <w:rsid w:val="00FF1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2795"/>
    <w:pPr>
      <w:ind w:left="720"/>
      <w:contextualSpacing/>
    </w:pPr>
  </w:style>
  <w:style w:type="table" w:styleId="Grilledutableau">
    <w:name w:val="Table Grid"/>
    <w:basedOn w:val="TableauNormal"/>
    <w:uiPriority w:val="59"/>
    <w:rsid w:val="00404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A57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2795"/>
    <w:pPr>
      <w:ind w:left="720"/>
      <w:contextualSpacing/>
    </w:pPr>
  </w:style>
  <w:style w:type="table" w:styleId="Grilledutableau">
    <w:name w:val="Table Grid"/>
    <w:basedOn w:val="TableauNormal"/>
    <w:uiPriority w:val="59"/>
    <w:rsid w:val="00404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A57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4</Pages>
  <Words>1191</Words>
  <Characters>6556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Pierre-Julien Bavent</dc:creator>
  <cp:lastModifiedBy>Pierre-Julien Bavent</cp:lastModifiedBy>
  <cp:revision>29</cp:revision>
  <cp:lastPrinted>2014-07-01T09:57:00Z</cp:lastPrinted>
  <dcterms:created xsi:type="dcterms:W3CDTF">2014-04-11T08:28:00Z</dcterms:created>
  <dcterms:modified xsi:type="dcterms:W3CDTF">2014-08-27T13:03:00Z</dcterms:modified>
</cp:coreProperties>
</file>